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AN AGREEMENT TO EXCHANGE SERVICE AREAS AND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UWI-W-95-2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On July 31, 1995, United Water Idaho Inc. (United Water; UWI; Company), a public utility providing domestic water service, filed an Application with the Idaho Public Utilities Commission (Commission) requesting approval of a Service Area Exchange Agreement (Exchange Agreement, Agreement) with the City of Garden City and a related amendment and revision to its Certificate of Convenience and Necessity No. 143, relinquishing a portion of its certificated area.  The Exchange Agreement, dated July 20, 1995, provides for an exchange of service areas between United Water and Garden City whereby the Company agrees to provide service to the “North State Area” and Garden City agrees to provide service to the “Millstream Area.”  The Agreement was proposed by Garden City to comply with mutual promises and agreements set forth in an underlying Memorandum of Understanding (MOU) between Garden City and the City of Boise.  The net effect of the proposed Agreement is that Garden City would provide water service to areas lying within its corporate boundaries and area of impact and would no longer provide water service to areas lying within the Boise city limits and Boise area of impact.</w:t>
      </w:r>
      <w:r>
        <w:rPr>
          <w:vertAlign w:val="baseline"/>
        </w:rPr>
      </w:r>
    </w:p>
    <w:p>
      <w:r>
        <w:rPr>
          <w:color w:val="000000"/>
          <w:rFonts w:ascii="Times New Roman" w:hAnsi="Times New Roman"/>
          <w:sz w:val="24"/>
          <w:vertAlign w:val="baseline"/>
        </w:rPr>
        <w:t xml:space="preserve">Denial of Application</w:t>
      </w:r>
      <w:r>
        <w:rPr>
          <w:vertAlign w:val="baseline"/>
        </w:rPr>
      </w:r>
    </w:p>
    <w:p>
      <w:r>
        <w:rPr>
          <w:color w:val="000000"/>
          <w:rFonts w:ascii="Times New Roman" w:hAnsi="Times New Roman"/>
          <w:sz w:val="24"/>
          <w:vertAlign w:val="baseline"/>
        </w:rPr>
        <w:t xml:space="preserve">On March 14, 1996, the Commission issued final Order No. 26367 denying the Company’s Application. </w:t>
      </w:r>
      <w:r>
        <w:rPr>
          <w:vertAlign w:val="baseline"/>
        </w:rPr>
      </w:r>
    </w:p>
    <w:p>
      <w:r>
        <w:rPr>
          <w:color w:val="000000"/>
          <w:rFonts w:ascii="Times New Roman" w:hAnsi="Times New Roman"/>
          <w:sz w:val="24"/>
          <w:vertAlign w:val="baseline"/>
        </w:rPr>
        <w:t xml:space="preserve">The Commission was not persuaded in its earlier consideration of this matter that the political implications of the exchange for Garden City or the City of Boise should dictate the outcome in the case.  Indeed, as the Commission stated, it appears that the underlying memorandum of understanding between the cities resolves the problem of city and area of impact boundaries and water service competition between Garden City and United Water.</w:t>
      </w:r>
      <w:r>
        <w:rPr>
          <w:vertAlign w:val="baseline"/>
        </w:rPr>
      </w:r>
    </w:p>
    <w:p>
      <w:r>
        <w:rPr>
          <w:color w:val="000000"/>
          <w:rFonts w:ascii="Times New Roman" w:hAnsi="Times New Roman"/>
          <w:sz w:val="24"/>
          <w:vertAlign w:val="baseline"/>
        </w:rPr>
        <w:t xml:space="preserve">The Commission’s analysis in the earlier proceeding focused on an assessment of the relevant exchange benefits to the North State Area customers, the Millstream customers and the Company’s remaining customers.  The Commission concluded that apart from water pressure problems, which it seemed that both Garden City and United Water were capable of remedying, the exchange agreement failed to offer North State customers the outcome they most desired, a solution to their water quality problems.</w:t>
      </w:r>
      <w:r>
        <w:rPr>
          <w:vertAlign w:val="baseline"/>
        </w:rPr>
      </w:r>
    </w:p>
    <w:p>
      <w:r>
        <w:rPr>
          <w:color w:val="000000"/>
          <w:rFonts w:ascii="Times New Roman" w:hAnsi="Times New Roman"/>
          <w:sz w:val="24"/>
          <w:vertAlign w:val="baseline"/>
        </w:rPr>
        <w:t xml:space="preserve">Regarding the impact of the proposed exchange on the Company’s existing customers, the Commission in its earlier Order noted “although the Company maintains that its existing customers will not be adversely affected by the exchange, it is clear that the Company is not inclined to absorb any revenue shortfall or calculated subsidy requirement based on exchange-related costs.”  The Commission found that many questions remained unanswered in the Company’s case such as an actual verified number of customers in the North State Area, total exchange agreement costs including acquisition price, a reasonable estimate of other foreseeable exchange-related costs and direct and indirect expenses.  The Commission rejected the Company’s suggestion that it would be proper for the Commission to approve the exchange in principal and wait for the details.  We cannot do so, the Commission stated, and fulfill our statutory obligations.  Despite a recitation of reasons for approval, the Commission found that the Company had failed to demonstrate that the exchange was in the public interest or would benefit either the Company, the affected customers or the Company’s existing customers.  Any subsequent proposal to the Commission to achieve the desired realignment, the Commission stated, must provide benefits to the affected customers in the North State Area as part of the exchange and should not negatively affect existing customers.</w:t>
      </w:r>
      <w:r>
        <w:rPr>
          <w:vertAlign w:val="baseline"/>
        </w:rPr>
      </w:r>
    </w:p>
    <w:p>
      <w:r>
        <w:rPr>
          <w:color w:val="000000"/>
          <w:rFonts w:ascii="Times New Roman" w:hAnsi="Times New Roman"/>
          <w:sz w:val="24"/>
          <w:vertAlign w:val="baseline"/>
        </w:rPr>
        <w:t xml:space="preserve">Petitions for Reconsideration</w:t>
      </w:r>
      <w:r>
        <w:rPr>
          <w:vertAlign w:val="baseline"/>
        </w:rPr>
      </w:r>
    </w:p>
    <w:p>
      <w:r>
        <w:rPr>
          <w:color w:val="000000"/>
          <w:rFonts w:ascii="Times New Roman" w:hAnsi="Times New Roman"/>
          <w:sz w:val="24"/>
          <w:vertAlign w:val="baseline"/>
        </w:rPr>
        <w:t xml:space="preserve">On April 4, 1996, both United Water and Garden City filed Petitions for Reconsideration.  United Water requested the opportunity to present additional and more detailed evidence regarding water quality and water pressure, the actual number of customers in the North State Area, benefit/cost analysis, and accounting treatment of the purchase price.  Garden City requested the opportunity to supplement the record with evidence regarding customer numbers (actual and projected), water quality and water pressure, operational and service problems, duplication of infrastructure, opportunities for public input and cost/benefit analysis.</w:t>
      </w:r>
      <w:r>
        <w:rPr>
          <w:vertAlign w:val="baseline"/>
        </w:rPr>
      </w:r>
    </w:p>
    <w:p>
      <w:r>
        <w:rPr>
          <w:color w:val="000000"/>
          <w:rFonts w:ascii="Times New Roman" w:hAnsi="Times New Roman"/>
          <w:sz w:val="24"/>
          <w:vertAlign w:val="baseline"/>
        </w:rPr>
        <w:t xml:space="preserve">On April 11, 1996, the participating Homeowner Associations filed a letter response to the Petitions for Reconsideration.  In their letter, the North State Area customers pointed out that neither United Water nor Garden City proposed any more than additional studies to address water quality and water pressure concerns.  No immediate fix of water quality, they noted, was being proposed.  Additionally, the Associations noted that neither petitioner chose to address ways to mitigate the “rate shock” associated with the proposed exchange.  Finally, the Associations noted that still no direct effort had been made by Garden City, United Water or Boise City to communicate with affected customers.  The Associations expressed a desire to remain involved in the process but indicated the short seven day window of response did not permit the Associations the opportunity to notice and poll their members and submit a more formal response.</w:t>
      </w:r>
      <w:r>
        <w:rPr>
          <w:vertAlign w:val="baseline"/>
        </w:rPr>
      </w:r>
    </w:p>
    <w:p>
      <w:r>
        <w:rPr>
          <w:color w:val="000000"/>
          <w:rFonts w:ascii="Times New Roman" w:hAnsi="Times New Roman"/>
          <w:sz w:val="24"/>
          <w:vertAlign w:val="baseline"/>
        </w:rPr>
        <w:t xml:space="preserve">Reconsideration Granted</w:t>
      </w:r>
      <w:r>
        <w:rPr>
          <w:vertAlign w:val="baseline"/>
        </w:rPr>
      </w:r>
    </w:p>
    <w:p>
      <w:r>
        <w:rPr>
          <w:color w:val="000000"/>
          <w:rFonts w:ascii="Times New Roman" w:hAnsi="Times New Roman"/>
          <w:sz w:val="24"/>
          <w:vertAlign w:val="baseline"/>
        </w:rPr>
        <w:t xml:space="preserve">In its Order No. 26437 issued May 1, 1996, a split Commission granted reconsideration, finding as follows:</w:t>
      </w:r>
      <w:r>
        <w:rPr>
          <w:vertAlign w:val="baseline"/>
        </w:rPr>
      </w:r>
    </w:p>
    <w:p>
      <w:r>
        <w:rPr>
          <w:color w:val="000000"/>
          <w:rFonts w:ascii="Times New Roman" w:hAnsi="Times New Roman"/>
          <w:sz w:val="24"/>
          <w:vertAlign w:val="baseline"/>
        </w:rPr>
        <w:t xml:space="preserve">The Commission has reviewed the filings of record, transcript and final Order No. 26367 in Case No. UWI-W-95-2.  The Commission has also reviewed and considered the related petitions for reconsideration.  The Commission finds that its prior Order is supported by the hearing record and is otherwise reasonable.  Indeed neither petitioning party suggests that the Commission’s Order is unreasonable, unlawful or erroneous or unsupported by the record.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Commission Rules of Procedure IDAPA 31.01.01.331.01.</w:t>
      </w:r>
      <w:r>
        <w:rPr>
          <w:vertAlign w:val="baseline"/>
        </w:rPr>
      </w:r>
    </w:p>
    <w:p>
      <w:r>
        <w:rPr>
          <w:vertAlign w:val="baseline"/>
        </w:rPr>
      </w:r>
    </w:p>
    <w:p>
      <w:r>
        <w:rPr>
          <w:color w:val="000000"/>
          <w:rFonts w:ascii="Times New Roman" w:hAnsi="Times New Roman"/>
          <w:sz w:val="24"/>
          <w:vertAlign w:val="baseline"/>
        </w:rPr>
        <w:t xml:space="preserve">What the petitioners in this case have requested is that they be permitted to open the record and submit further and more detailed testimony and evidence that the exchange is in the public interest and will benefit the affected customers in the North State Area, and will not adversely affect the Company’s existing customers.  We are disappointed that United Water failed to present its full case in the prior proceedings.  We have already expressed our disappointment at Garden City’s failure to participate in the earlier proceedings.  Despite our concern we note that the affected customers in this case who are most inconvenienced have still not been included in this process by either the Company or the City.  We reluctantly reopen the record in this case to permit further testimony and evidence.  We do so because it procedurally provides a speedy and expeditious means for record augmentation, review and reconsideration.  Reference IDAPA 31.01.01.013.</w:t>
      </w:r>
      <w:r>
        <w:rPr>
          <w:vertAlign w:val="baseline"/>
        </w:rPr>
      </w:r>
    </w:p>
    <w:p>
      <w:r>
        <w:rPr>
          <w:vertAlign w:val="baseline"/>
        </w:rPr>
      </w:r>
    </w:p>
    <w:p>
      <w:r>
        <w:rPr>
          <w:color w:val="000000"/>
          <w:rFonts w:ascii="Times New Roman" w:hAnsi="Times New Roman"/>
          <w:sz w:val="24"/>
          <w:vertAlign w:val="baseline"/>
        </w:rPr>
        <w:t xml:space="preserve">We trust that the petitioners are not prematurely bringing this matter back before this Commission and are prepared to now present persuasive reasons for approving the exchange of service territories.  We expect that the petitioners will present the results of further analysis and reasonable and near term resolutions to the identified water quality and water pressure problems.  This Commission does not question the underlying reasonableness and rationale behind the proposed exchange, only the timing and the rate impacts on customers.  The North State area customers cannot be asked to wait two to ten years for a technical fix to water quality problems while being asked to pay higher rates immediately.  United Water must demonstrate an ability to deliver improved water quality and pressure to North State area customers in order to justify the exchange and the associated increase in rates to the North State area customers.  We provide the petitioners the latitude to present an amended Exchange Agreement to the extent that an amendment will make the exchange more acceptable to customers and this Commission.  We apprise the petitioners that if the Agreement and facts are otherwise the same as previously presented, then there is no reason to expect a different result.</w:t>
      </w:r>
      <w:r>
        <w:rPr>
          <w:vertAlign w:val="baseline"/>
        </w:rPr>
      </w:r>
    </w:p>
    <w:p>
      <w:r>
        <w:rPr>
          <w:vertAlign w:val="baseline"/>
        </w:rPr>
      </w:r>
    </w:p>
    <w:p>
      <w:r>
        <w:rPr>
          <w:color w:val="000000"/>
          <w:rFonts w:ascii="Times New Roman" w:hAnsi="Times New Roman"/>
          <w:sz w:val="24"/>
          <w:vertAlign w:val="baseline"/>
        </w:rPr>
        <w:t xml:space="preserve">Hearing on Reconsideration</w:t>
      </w:r>
      <w:r>
        <w:rPr>
          <w:vertAlign w:val="baseline"/>
        </w:rPr>
      </w:r>
    </w:p>
    <w:p>
      <w:r>
        <w:rPr>
          <w:color w:val="000000"/>
          <w:rFonts w:ascii="Times New Roman" w:hAnsi="Times New Roman"/>
          <w:sz w:val="24"/>
          <w:vertAlign w:val="baseline"/>
        </w:rPr>
        <w:t xml:space="preserve">Public hearing on reconsideration in Case No. UWI-W-95-2 was held in Boise, Idaho on June 27, 1996.  The following parties appeared and participated by and through their respective counsel:</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United Water Idaho, Inc.</w:t>
            </w:r>
            <w:r>
              <w:rPr>
                <w:vertAlign w:val="baseline"/>
              </w:rPr>
            </w:r>
          </w:p>
          <w:p>
            <w:r>
              <w:rPr>
                <w:color w:val="000000"/>
                <w:rFonts w:ascii="Times New Roman" w:hAnsi="Times New Roman"/>
                <w:sz w:val="24"/>
                <w:vertAlign w:val="baseline"/>
              </w:rPr>
              <w:t xml:space="preserve">Garden City</w:t>
            </w:r>
            <w:r>
              <w:rPr>
                <w:vertAlign w:val="baseline"/>
              </w:rPr>
            </w:r>
          </w:p>
          <w:p>
            <w:r>
              <w:rPr>
                <w:color w:val="000000"/>
                <w:rFonts w:ascii="Times New Roman" w:hAnsi="Times New Roman"/>
                <w:sz w:val="24"/>
                <w:vertAlign w:val="baseline"/>
              </w:rPr>
              <w:t xml:space="preserve">Neighborhood Associations</w:t>
            </w:r>
            <w:r>
              <w:rPr>
                <w:vertAlign w:val="baseline"/>
              </w:rPr>
            </w:r>
          </w:p>
          <w:p>
            <w:r>
              <w:rPr>
                <w:color w:val="000000"/>
                <w:rFonts w:ascii="Times New Roman" w:hAnsi="Times New Roman"/>
                <w:sz w:val="24"/>
                <w:vertAlign w:val="baseline"/>
              </w:rPr>
              <w:t xml:space="preserve">Coventry Neighborhood Association</w:t>
            </w:r>
            <w:r>
              <w:rPr>
                <w:vertAlign w:val="baseline"/>
              </w:rPr>
            </w:r>
          </w:p>
          <w:p>
            <w:r>
              <w:rPr>
                <w:color w:val="000000"/>
                <w:rFonts w:ascii="Times New Roman" w:hAnsi="Times New Roman"/>
                <w:sz w:val="24"/>
                <w:vertAlign w:val="baseline"/>
              </w:rPr>
              <w:t xml:space="preserve">Gary Lane Meadows Homeowners Association</w:t>
            </w:r>
            <w:r>
              <w:rPr>
                <w:vertAlign w:val="baseline"/>
              </w:rPr>
            </w:r>
          </w:p>
          <w:p>
            <w:r>
              <w:rPr>
                <w:color w:val="000000"/>
                <w:rFonts w:ascii="Times New Roman" w:hAnsi="Times New Roman"/>
                <w:sz w:val="24"/>
                <w:vertAlign w:val="baseline"/>
              </w:rPr>
              <w:t xml:space="preserve">Pierce Park Meadows Homeowners Association</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Kenneth G.  Bergquist</w:t>
            </w:r>
            <w:r>
              <w:rPr>
                <w:vertAlign w:val="baseline"/>
              </w:rPr>
            </w:r>
          </w:p>
          <w:p>
            <w:r>
              <w:rPr>
                <w:color w:val="000000"/>
                <w:rFonts w:ascii="Times New Roman" w:hAnsi="Times New Roman"/>
                <w:sz w:val="24"/>
                <w:vertAlign w:val="baseline"/>
              </w:rPr>
              <w:t xml:space="preserve">Jack Britton</w:t>
            </w:r>
            <w:r>
              <w:rPr>
                <w:vertAlign w:val="baseline"/>
              </w:rPr>
            </w:r>
          </w:p>
          <w:p>
            <w:r>
              <w:rPr>
                <w:color w:val="000000"/>
                <w:rFonts w:ascii="Times New Roman" w:hAnsi="Times New Roman"/>
                <w:sz w:val="24"/>
                <w:vertAlign w:val="baseline"/>
              </w:rPr>
              <w:t xml:space="preserve">Barton L. Kline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Scott D.  Woodbury</w:t>
            </w:r>
            <w:r>
              <w:rPr>
                <w:vertAlign w:val="baseline"/>
              </w:rPr>
            </w:r>
          </w:p>
        </w:tc>
      </w:tr>
    </w:tbl>
    <w:p>
      <w:pPr/>
    </w:p>
    <w:p>
      <w:r>
        <w:rPr>
          <w:vertAlign w:val="baseline"/>
        </w:rPr>
      </w:r>
    </w:p>
    <w:p>
      <w:r>
        <w:rPr>
          <w:color w:val="000000"/>
          <w:rFonts w:ascii="Times New Roman" w:hAnsi="Times New Roman"/>
          <w:sz w:val="24"/>
          <w:vertAlign w:val="baseline"/>
        </w:rPr>
        <w:t xml:space="preserve">Public testimony was taken in an evening hearing on the same date.</w:t>
      </w:r>
      <w:r>
        <w:rPr>
          <w:vertAlign w:val="baseline"/>
        </w:rPr>
      </w:r>
    </w:p>
    <w:p>
      <w:r>
        <w:rPr>
          <w:vertAlign w:val="baseline"/>
        </w:rPr>
      </w:r>
    </w:p>
    <w:p>
      <w:r>
        <w:rPr>
          <w:color w:val="000000"/>
          <w:rFonts w:ascii="Times New Roman" w:hAnsi="Times New Roman"/>
          <w:sz w:val="24"/>
          <w:vertAlign w:val="baseline"/>
        </w:rPr>
        <w:t xml:space="preserve">Amended Exchange Agreement</w:t>
      </w:r>
      <w:r>
        <w:rPr>
          <w:vertAlign w:val="baseline"/>
        </w:rPr>
      </w:r>
    </w:p>
    <w:p>
      <w:r>
        <w:rPr>
          <w:color w:val="000000"/>
          <w:rFonts w:ascii="Times New Roman" w:hAnsi="Times New Roman"/>
          <w:sz w:val="24"/>
          <w:vertAlign w:val="baseline"/>
        </w:rPr>
        <w:t xml:space="preserve">United Water and Garden City on reconsideration and rehearing present the Commission with a number of proposed changes to the underlying Exchange Agreement.  The changes to which the parties have ostensibly agreed (Tr. pp. 386-387) can be summarized as follows:</w:t>
      </w:r>
      <w:r>
        <w:rPr>
          <w:vertAlign w:val="baseline"/>
        </w:rPr>
      </w:r>
    </w:p>
    <w:p>
      <w:r>
        <w:rPr>
          <w:color w:val="000000"/>
          <w:rFonts w:ascii="Times New Roman" w:hAnsi="Times New Roman"/>
          <w:sz w:val="24"/>
          <w:vertAlign w:val="baseline"/>
        </w:rPr>
        <w:t xml:space="preserve">∙Number of customers—reduced customer count in North State Area from 912 to 872.  (Tr. p. 434).</w:t>
      </w:r>
      <w:r>
        <w:rPr>
          <w:vertAlign w:val="baseline"/>
        </w:rPr>
      </w:r>
    </w:p>
    <w:p>
      <w:r>
        <w:rPr>
          <w:vertAlign w:val="baseline"/>
        </w:rPr>
      </w:r>
    </w:p>
    <w:p>
      <w:r>
        <w:rPr>
          <w:color w:val="000000"/>
          <w:rFonts w:ascii="Times New Roman" w:hAnsi="Times New Roman"/>
          <w:sz w:val="24"/>
          <w:vertAlign w:val="baseline"/>
        </w:rPr>
        <w:t xml:space="preserve">One-hundred fifteen additional services have been installed and are awaiting hookup or construction.  Tr. pp. 434, 475, 476.</w:t>
      </w:r>
      <w:r>
        <w:rPr>
          <w:vertAlign w:val="baseline"/>
        </w:rPr>
      </w:r>
    </w:p>
    <w:p>
      <w:r>
        <w:rPr>
          <w:vertAlign w:val="baseline"/>
        </w:rPr>
      </w:r>
    </w:p>
    <w:p>
      <w:r>
        <w:rPr>
          <w:color w:val="000000"/>
          <w:rFonts w:ascii="Times New Roman" w:hAnsi="Times New Roman"/>
          <w:sz w:val="24"/>
          <w:vertAlign w:val="baseline"/>
        </w:rPr>
        <w:t xml:space="preserve">∙Cash purchase price—reduced from $593,250 to $541,800 to reflect reduced customer count.</w:t>
      </w:r>
      <w:r>
        <w:rPr>
          <w:vertAlign w:val="baseline"/>
        </w:rPr>
      </w:r>
    </w:p>
    <w:p>
      <w:r>
        <w:rPr>
          <w:vertAlign w:val="baseline"/>
        </w:rPr>
      </w:r>
    </w:p>
    <w:p>
      <w:r>
        <w:rPr>
          <w:color w:val="000000"/>
          <w:rFonts w:ascii="Times New Roman" w:hAnsi="Times New Roman"/>
          <w:sz w:val="24"/>
          <w:vertAlign w:val="baseline"/>
        </w:rPr>
        <w:t xml:space="preserve">∙Immediate inter-tie to UWI distribution system.</w:t>
      </w:r>
      <w:r>
        <w:rPr>
          <w:vertAlign w:val="baseline"/>
        </w:rPr>
      </w:r>
    </w:p>
    <w:p>
      <w:r>
        <w:rPr>
          <w:color w:val="000000"/>
          <w:rFonts w:ascii="Times New Roman" w:hAnsi="Times New Roman"/>
          <w:sz w:val="24"/>
          <w:vertAlign w:val="baseline"/>
        </w:rPr>
        <w:t xml:space="preserve">—to enhance and stabilize pressure.</w:t>
      </w:r>
      <w:r>
        <w:rPr>
          <w:vertAlign w:val="baseline"/>
        </w:rPr>
      </w:r>
    </w:p>
    <w:p>
      <w:r>
        <w:rPr>
          <w:vertAlign w:val="baseline"/>
        </w:rPr>
      </w:r>
    </w:p>
    <w:p>
      <w:r>
        <w:rPr>
          <w:color w:val="000000"/>
          <w:rFonts w:ascii="Times New Roman" w:hAnsi="Times New Roman"/>
          <w:sz w:val="24"/>
          <w:vertAlign w:val="baseline"/>
        </w:rPr>
        <w:t xml:space="preserve">∙Water supply for North State Area</w:t>
      </w:r>
      <w:r>
        <w:rPr>
          <w:vertAlign w:val="baseline"/>
        </w:rPr>
      </w:r>
    </w:p>
    <w:p>
      <w:r>
        <w:rPr>
          <w:color w:val="000000"/>
          <w:rFonts w:ascii="Times New Roman" w:hAnsi="Times New Roman"/>
          <w:sz w:val="24"/>
          <w:vertAlign w:val="baseline"/>
        </w:rPr>
        <w:t xml:space="preserve">—purchase price for GC water for peak period (May-September) reduced from 45¢/1,000 gallon to 35¢/1,000 gallon.  (Tr. pp.  461-462)</w:t>
      </w:r>
      <w:r>
        <w:rPr>
          <w:vertAlign w:val="baseline"/>
        </w:rPr>
      </w:r>
    </w:p>
    <w:p>
      <w:r>
        <w:rPr>
          <w:color w:val="000000"/>
          <w:rFonts w:ascii="Times New Roman" w:hAnsi="Times New Roman"/>
          <w:sz w:val="24"/>
          <w:vertAlign w:val="baseline"/>
        </w:rPr>
        <w:t xml:space="preserve">—off peak (October-April)—to be served by existing UWI facilities.</w:t>
      </w:r>
      <w:r>
        <w:rPr>
          <w:vertAlign w:val="baseline"/>
        </w:rPr>
      </w:r>
    </w:p>
    <w:p>
      <w:r>
        <w:rPr>
          <w:color w:val="000000"/>
          <w:rFonts w:ascii="Times New Roman" w:hAnsi="Times New Roman"/>
          <w:sz w:val="24"/>
          <w:vertAlign w:val="baseline"/>
        </w:rPr>
        <w:t xml:space="preserve">—peak (May-September)—UWI will augment supply with GC water.</w:t>
      </w:r>
      <w:r>
        <w:rPr>
          <w:vertAlign w:val="baseline"/>
        </w:rPr>
      </w:r>
    </w:p>
    <w:p>
      <w:r>
        <w:rPr>
          <w:color w:val="000000"/>
          <w:rFonts w:ascii="Times New Roman" w:hAnsi="Times New Roman"/>
          <w:sz w:val="24"/>
          <w:vertAlign w:val="baseline"/>
        </w:rPr>
        <w:t xml:space="preserve">GC will construct an additional pumping/regulating facility within 60 days. Tr. pp. 429, 444.</w:t>
      </w:r>
      <w:r>
        <w:rPr>
          <w:vertAlign w:val="baseline"/>
        </w:rPr>
      </w:r>
    </w:p>
    <w:p>
      <w:r>
        <w:rPr>
          <w:vertAlign w:val="baseline"/>
        </w:rPr>
      </w:r>
    </w:p>
    <w:p>
      <w:r>
        <w:rPr>
          <w:color w:val="000000"/>
          <w:rFonts w:ascii="Times New Roman" w:hAnsi="Times New Roman"/>
          <w:sz w:val="24"/>
          <w:vertAlign w:val="baseline"/>
        </w:rPr>
        <w:t xml:space="preserve">Additionally, the Company proposed a rate phase-in for North State customers.  Tr. pp. 387-389.  The rate phase-in is to follow water pressure improvement and would be structured as follows:</w:t>
      </w:r>
      <w:r>
        <w:rPr>
          <w:vertAlign w:val="baseline"/>
        </w:rPr>
      </w:r>
    </w:p>
    <w:p>
      <w:r>
        <w:rPr>
          <w:color w:val="000000"/>
          <w:rFonts w:ascii="Times New Roman" w:hAnsi="Times New Roman"/>
          <w:sz w:val="24"/>
          <w:vertAlign w:val="baseline"/>
        </w:rPr>
        <w:t xml:space="preserve">Phase 1—existing GC rates until intertie is completed (approximately three-six months).  Tr. p. 402.</w:t>
      </w:r>
      <w:r>
        <w:rPr>
          <w:vertAlign w:val="baseline"/>
        </w:rPr>
      </w:r>
    </w:p>
    <w:p>
      <w:r>
        <w:rPr>
          <w:vertAlign w:val="baseline"/>
        </w:rPr>
      </w:r>
    </w:p>
    <w:p>
      <w:r>
        <w:rPr>
          <w:color w:val="000000"/>
          <w:rFonts w:ascii="Times New Roman" w:hAnsi="Times New Roman"/>
          <w:sz w:val="24"/>
          <w:vertAlign w:val="baseline"/>
        </w:rPr>
        <w:t xml:space="preserve">Phase 2—85% of now existing UWI rates              12 months.</w:t>
      </w:r>
      <w:r>
        <w:rPr>
          <w:vertAlign w:val="baseline"/>
        </w:rPr>
      </w:r>
    </w:p>
    <w:p>
      <w:r>
        <w:rPr>
          <w:vertAlign w:val="baseline"/>
        </w:rPr>
      </w:r>
    </w:p>
    <w:p>
      <w:r>
        <w:rPr>
          <w:color w:val="000000"/>
          <w:rFonts w:ascii="Times New Roman" w:hAnsi="Times New Roman"/>
          <w:sz w:val="24"/>
          <w:vertAlign w:val="baseline"/>
        </w:rPr>
        <w:t xml:space="preserve">Phase 3—92% of now existing UWI rates              12 months</w:t>
      </w:r>
      <w:r>
        <w:rPr>
          <w:vertAlign w:val="baseline"/>
        </w:rPr>
      </w:r>
    </w:p>
    <w:p>
      <w:r>
        <w:rPr>
          <w:vertAlign w:val="baseline"/>
        </w:rPr>
      </w:r>
    </w:p>
    <w:p>
      <w:r>
        <w:rPr>
          <w:color w:val="000000"/>
          <w:rFonts w:ascii="Times New Roman" w:hAnsi="Times New Roman"/>
          <w:sz w:val="24"/>
          <w:vertAlign w:val="baseline"/>
        </w:rPr>
        <w:t xml:space="preserve">Phase 4—transition to full UWI rates.</w:t>
      </w:r>
      <w:r>
        <w:rPr>
          <w:vertAlign w:val="baseline"/>
        </w:rPr>
      </w:r>
    </w:p>
    <w:p>
      <w:r>
        <w:rPr>
          <w:vertAlign w:val="baseline"/>
        </w:rPr>
      </w:r>
    </w:p>
    <w:p>
      <w:r>
        <w:rPr>
          <w:color w:val="000000"/>
          <w:rFonts w:ascii="Times New Roman" w:hAnsi="Times New Roman"/>
          <w:sz w:val="24"/>
          <w:vertAlign w:val="baseline"/>
        </w:rPr>
        <w:t xml:space="preserve">Garden City</w:t>
      </w:r>
      <w:r>
        <w:rPr>
          <w:vertAlign w:val="baseline"/>
        </w:rPr>
      </w:r>
    </w:p>
    <w:p>
      <w:r>
        <w:rPr>
          <w:color w:val="000000"/>
          <w:rFonts w:ascii="Times New Roman" w:hAnsi="Times New Roman"/>
          <w:sz w:val="24"/>
          <w:vertAlign w:val="baseline"/>
        </w:rPr>
        <w:t xml:space="preserve">Garden City identified on rehearing a number of problems associated with the operation of a municipal water system outside of corporate boundaries, e.g., municipal ordinance enforcement, identification of service provider, fire hydrants (performance, ownership and maintenance).  Tr. pp. 436-438.  Garden City further related that the physical configuration of the water system in the North State Area presents difficulties in providing adequate sustained water pressure to North State Area customers and has inhibited its ability to address those customers’ water quality concerns.  Tr. pp. 438, 439.</w:t>
      </w:r>
      <w:r>
        <w:rPr>
          <w:vertAlign w:val="baseline"/>
        </w:rPr>
      </w:r>
    </w:p>
    <w:p>
      <w:r>
        <w:rPr>
          <w:color w:val="000000"/>
          <w:rFonts w:ascii="Times New Roman" w:hAnsi="Times New Roman"/>
          <w:sz w:val="24"/>
          <w:vertAlign w:val="baseline"/>
        </w:rPr>
        <w:t xml:space="preserve">United Water, Garden City concedes, has capabilities that Garden City does not possess to provide the product that the customers desire.  Tr. p. 440.  The City relates that it has no immediate plans (or money) to move forward with storage facilities or central control systems of its own.  The City further has no conservation or regular flushing program.  Tr. pp. 441-442.  Garden City relates, however, that its physical plant is not deficient as Staff suggests but merely presents hydraulic challenges and source water quality problems.  Tr. p. 457.</w:t>
      </w:r>
      <w:r>
        <w:rPr>
          <w:vertAlign w:val="baseline"/>
        </w:rPr>
      </w:r>
    </w:p>
    <w:p>
      <w:r>
        <w:rPr>
          <w:color w:val="000000"/>
          <w:rFonts w:ascii="Times New Roman" w:hAnsi="Times New Roman"/>
          <w:sz w:val="24"/>
          <w:vertAlign w:val="baseline"/>
        </w:rPr>
        <w:t xml:space="preserve">Garden City contends that approval of the Exchange Agreement will facilitate planned orderly growth.  Tr. pp. 455-456.  Addressing Staff’s surmise that haphazard service connections should be confined to infill areas, the City responds:</w:t>
      </w:r>
      <w:r>
        <w:rPr>
          <w:vertAlign w:val="baseline"/>
        </w:rPr>
      </w:r>
    </w:p>
    <w:p>
      <w:r>
        <w:rPr>
          <w:color w:val="000000"/>
          <w:rFonts w:ascii="Times New Roman" w:hAnsi="Times New Roman"/>
          <w:sz w:val="24"/>
          <w:vertAlign w:val="baseline"/>
        </w:rPr>
        <w:t xml:space="preserve">The infill area is the problem.  The growth bounded by State, Pierce Park, Hill and Eugene is currently served from the east by United Water and from the west by Garden City based on customer need for service.  We recognize from a planning standpoint that this should be a United Water service area, but checkerboard growth patterns have resulted in Garden City extensions into the area from existing pipes, although all extensions have been made after review by United Water to ensure the systems meet their eventual needs.  It must be made clear what the end result of this will be—a series of east/west deadend pipes from both sides into the middle with no interconnection or loop without the construction of north/south, redundant and costly pipes by both Garden City and United Water that would both be unnecessary if the transfer were to take place.</w:t>
      </w:r>
      <w:r>
        <w:rPr>
          <w:vertAlign w:val="baseline"/>
        </w:rPr>
      </w:r>
    </w:p>
    <w:p>
      <w:r>
        <w:rPr>
          <w:vertAlign w:val="baseline"/>
        </w:rPr>
      </w:r>
    </w:p>
    <w:p>
      <w:r>
        <w:rPr>
          <w:color w:val="000000"/>
          <w:rFonts w:ascii="Times New Roman" w:hAnsi="Times New Roman"/>
          <w:sz w:val="24"/>
          <w:vertAlign w:val="baseline"/>
        </w:rPr>
        <w:t xml:space="preserve">The City informs the Commission that planning decisions are being deferred pending the Commission’s decision and recommends that the Commission lend greater weight to the desires of the elected representatives of both Garden City and Boise City.  Tr. p. 457. </w:t>
      </w:r>
      <w:r>
        <w:rPr>
          <w:vertAlign w:val="baseline"/>
        </w:rPr>
      </w:r>
    </w:p>
    <w:p>
      <w:r>
        <w:rPr>
          <w:color w:val="000000"/>
          <w:rFonts w:ascii="Times New Roman" w:hAnsi="Times New Roman"/>
          <w:sz w:val="24"/>
          <w:vertAlign w:val="baseline"/>
        </w:rPr>
        <w:t xml:space="preserve">Water Pressure</w:t>
      </w:r>
      <w:r>
        <w:rPr>
          <w:vertAlign w:val="baseline"/>
        </w:rPr>
      </w:r>
    </w:p>
    <w:p>
      <w:r>
        <w:rPr>
          <w:color w:val="000000"/>
          <w:rFonts w:ascii="Times New Roman" w:hAnsi="Times New Roman"/>
          <w:sz w:val="24"/>
          <w:vertAlign w:val="baseline"/>
        </w:rPr>
        <w:t xml:space="preserve">As in the previous hearing, it is generally agreed that interconnection of the North State Area facilities with UWI distribution and reservoir facilities will increase and stabilize water pressure.  UWI Tr pp. 359-360, GC Tr. 442-444, 463, Staff Tr. pp. 491, 492.  If the exchange is approved United Water would immediately put in place pressure recorders to monitor pressure before and after the intertie, would install SCADA equipment and proceed with a flushing program.  Tr. p. 523.</w:t>
      </w:r>
      <w:r>
        <w:rPr>
          <w:vertAlign w:val="baseline"/>
        </w:rPr>
      </w:r>
    </w:p>
    <w:p>
      <w:r>
        <w:rPr>
          <w:color w:val="000000"/>
          <w:rFonts w:ascii="Times New Roman" w:hAnsi="Times New Roman"/>
          <w:sz w:val="24"/>
          <w:vertAlign w:val="baseline"/>
        </w:rPr>
        <w:t xml:space="preserve">Water Quality</w:t>
      </w:r>
      <w:r>
        <w:rPr>
          <w:vertAlign w:val="baseline"/>
        </w:rPr>
      </w:r>
    </w:p>
    <w:p>
      <w:r>
        <w:rPr>
          <w:color w:val="000000"/>
          <w:rFonts w:ascii="Times New Roman" w:hAnsi="Times New Roman"/>
          <w:sz w:val="24"/>
          <w:vertAlign w:val="baseline"/>
        </w:rPr>
        <w:t xml:space="preserve">The water quality problems experienced in the North State Area are aesthetic in nature and consist of high levels of iron and manganese.  The problem is seemingly not ubiquitous, however, as some customers testified that their water quality was fine.  Garden City’s attempts to treat the problem with sequestering has been impeded by the physical configuration of the system.  Tr. pp. 446-448.</w:t>
      </w:r>
      <w:r>
        <w:rPr>
          <w:vertAlign w:val="baseline"/>
        </w:rPr>
      </w:r>
    </w:p>
    <w:p>
      <w:r>
        <w:rPr>
          <w:color w:val="000000"/>
          <w:rFonts w:ascii="Times New Roman" w:hAnsi="Times New Roman"/>
          <w:sz w:val="24"/>
          <w:vertAlign w:val="baseline"/>
        </w:rPr>
        <w:t xml:space="preserve">Garden City represents that North State Area customers will be provided with immediate improvement of water quality during the seven-month off-peak season (October-April) by using United Water’s existing sources of higher quality water.  Tr. pp. 463-465.  United Water stated that it is “reasonable to anticipate that their water quality may improve during this ‘off-peak’ period.”  Tr. pp. 361, 413.  By combining UWI’s waters with Garden City waters during the peak season (May-September) the problem waters of Garden City are diluted.  Tr. pp. 492, 493.  Neither Garden City nor United Water have proposed a method to monitor water quality after interconnect to determine if it has improved and by how much.  Tr. p. 493.  </w:t>
      </w:r>
      <w:r>
        <w:rPr>
          <w:vertAlign w:val="baseline"/>
        </w:rPr>
      </w:r>
    </w:p>
    <w:p>
      <w:r>
        <w:rPr>
          <w:color w:val="000000"/>
          <w:rFonts w:ascii="Times New Roman" w:hAnsi="Times New Roman"/>
          <w:sz w:val="24"/>
          <w:vertAlign w:val="baseline"/>
        </w:rPr>
        <w:t xml:space="preserve">United Water stated its intention to improve water quality year round, but admits that it will be difficult, will require extensive analysis and may be expensive.  Possible solutions include sequesterants, filtration, pumping water from the west bench, aquifer storage and recovery, and biological treatment.  The Company hopes to have a pilot program in operation within the next two years.  Tr. pp. 361-363, 372-376.  The nature, location and extent of the pilot program has not been determined.  Tr. p. 493.</w:t>
      </w:r>
      <w:r>
        <w:rPr>
          <w:vertAlign w:val="baseline"/>
        </w:rPr>
      </w:r>
    </w:p>
    <w:p>
      <w:r>
        <w:rPr>
          <w:color w:val="000000"/>
          <w:rFonts w:ascii="Times New Roman" w:hAnsi="Times New Roman"/>
          <w:sz w:val="24"/>
          <w:vertAlign w:val="baseline"/>
        </w:rPr>
        <w:t xml:space="preserve">Although the new proposal increases the potential for water quality improvement, Staff contends that the benefits derived from the exchange do not justify the payment made to Garden City and that a subsidy will be required by United Water customers.  Tr. p. 495.</w:t>
      </w:r>
      <w:r>
        <w:rPr>
          <w:vertAlign w:val="baseline"/>
        </w:rPr>
      </w:r>
    </w:p>
    <w:p>
      <w:r>
        <w:rPr>
          <w:color w:val="000000"/>
          <w:rFonts w:ascii="Times New Roman" w:hAnsi="Times New Roman"/>
          <w:sz w:val="24"/>
          <w:vertAlign w:val="baseline"/>
        </w:rPr>
        <w:t xml:space="preserve">Financial Considerations of the Agreement</w:t>
      </w:r>
      <w:r>
        <w:rPr>
          <w:vertAlign w:val="baseline"/>
        </w:rPr>
      </w:r>
    </w:p>
    <w:p>
      <w:r>
        <w:rPr>
          <w:color w:val="000000"/>
          <w:rFonts w:ascii="Times New Roman" w:hAnsi="Times New Roman"/>
          <w:sz w:val="24"/>
          <w:vertAlign w:val="baseline"/>
        </w:rPr>
        <w:t xml:space="preserve">United Water has approximately 50,000 customers and is experiencing 3% growth per year or approximately 1,500 customers.  Tr. p. 504.  The Company’s rate base as stated in its current rate Application is $74,591,966.  The Garden City exchange if approved would increase rate base a little more than 1%.  Tr. p. 518.</w:t>
      </w:r>
      <w:r>
        <w:rPr>
          <w:vertAlign w:val="baseline"/>
        </w:rPr>
      </w:r>
    </w:p>
    <w:p>
      <w:r>
        <w:rPr>
          <w:color w:val="000000"/>
          <w:rFonts w:ascii="Times New Roman" w:hAnsi="Times New Roman"/>
          <w:sz w:val="24"/>
          <w:vertAlign w:val="baseline"/>
        </w:rPr>
        <w:t xml:space="preserve">United Water estimates that in addition to the $541,800 cash purchase price the Company will also incur the following costs for which it requests rate base treatment:</w:t>
      </w:r>
      <w:r>
        <w:rPr>
          <w:vertAlign w:val="baseline"/>
        </w:rPr>
      </w:r>
    </w:p>
    <w:p>
      <w:r>
        <w:rPr>
          <w:color w:val="000000"/>
          <w:rFonts w:ascii="Times New Roman" w:hAnsi="Times New Roman"/>
          <w:sz w:val="24"/>
          <w:vertAlign w:val="baseline"/>
        </w:rPr>
        <w:t xml:space="preserve">Interconnection cost—$47,500</w:t>
      </w:r>
      <w:r>
        <w:rPr>
          <w:vertAlign w:val="baseline"/>
        </w:rPr>
      </w:r>
    </w:p>
    <w:p>
      <w:r>
        <w:rPr>
          <w:color w:val="000000"/>
          <w:rFonts w:ascii="Times New Roman" w:hAnsi="Times New Roman"/>
          <w:sz w:val="24"/>
          <w:vertAlign w:val="baseline"/>
        </w:rPr>
        <w:t xml:space="preserve">Metering cost—$31,169 (plus new hook-ups)</w:t>
      </w:r>
      <w:r>
        <w:rPr>
          <w:vertAlign w:val="baseline"/>
        </w:rPr>
      </w:r>
    </w:p>
    <w:p>
      <w:r>
        <w:rPr>
          <w:color w:val="000000"/>
          <w:rFonts w:ascii="Times New Roman" w:hAnsi="Times New Roman"/>
          <w:sz w:val="24"/>
          <w:vertAlign w:val="baseline"/>
        </w:rPr>
        <w:t xml:space="preserve">Staff contends that an additional cost of the exchange is the Company’s net investment of $104,181 in Millstream facilities.  Tr. p. 396.  If drilled, it was also earlier projected by United Water that a well to serve North State customers would cost an estimated $300,000.  Tr. p. 370.  The Company has yet to settle on a method for providing additional capacity, contending that a well may not be needed.  The ultimate cost, if any, is therefore unknown.  Tr. p. 417.  The Company is also unable to provide estimates for the cost of improving the water quality.  Tr. pp. 370, 371, 512.</w:t>
      </w:r>
      <w:r>
        <w:rPr>
          <w:vertAlign w:val="baseline"/>
        </w:rPr>
      </w:r>
    </w:p>
    <w:p>
      <w:r>
        <w:rPr>
          <w:color w:val="000000"/>
          <w:rFonts w:ascii="Times New Roman" w:hAnsi="Times New Roman"/>
          <w:sz w:val="24"/>
          <w:vertAlign w:val="baseline"/>
        </w:rPr>
        <w:t xml:space="preserve">Because the North State Area facilities were in large part contributed and because no records exist to permit a different allocation, Staff contends that the purchase price is an acquisition premium that should not be allowed in rate base, since no quantifiable benefit for this premium has been demonstrated.  Tr. pp. 393, 394, 509.  Nor Staff contends should ratepayers be required to fund needed system improvements to water quality or pressure that will probably come only with an additional price tag.  Tr. pp. 490, 509, 510.</w:t>
      </w:r>
      <w:r>
        <w:rPr>
          <w:vertAlign w:val="baseline"/>
        </w:rPr>
      </w:r>
    </w:p>
    <w:p>
      <w:r>
        <w:rPr>
          <w:color w:val="000000"/>
          <w:rFonts w:ascii="Times New Roman" w:hAnsi="Times New Roman"/>
          <w:sz w:val="24"/>
          <w:vertAlign w:val="baseline"/>
        </w:rPr>
        <w:t xml:space="preserve">Staff calculates that with the proposed known changes existing UWI customers will subsidize the North State Area by as much as $63,000 per year if the acquisition adjustment is allowed in rate base.  Including the estimated cost of a new well will add approximately $30,000 per year to the revenue requirement.  Tr. p. 511, Exhibit 108.  Staff also contends that of current revenue generated by 382 Millstream customers approximately 38% covers incremental costs of service, with the remaining available for general overhead expense.  Tr. pp. 507, 514.  The Company, calculating differently, contends that proposed revenue is essentially equal to required revenues and that no subsidization will occur.  Tr. pp. 395, 396, 398, Exh. 5.</w:t>
      </w:r>
      <w:r>
        <w:rPr>
          <w:vertAlign w:val="baseline"/>
        </w:rPr>
      </w:r>
    </w:p>
    <w:p>
      <w:r>
        <w:rPr>
          <w:color w:val="000000"/>
          <w:rFonts w:ascii="Times New Roman" w:hAnsi="Times New Roman"/>
          <w:sz w:val="24"/>
          <w:vertAlign w:val="baseline"/>
        </w:rPr>
        <w:t xml:space="preserve">Staff contends that the North State Area system should be accounted for in a manner that would allow all rate base, revenues and expenses, including allocated expenses, to be analyzed in a rate case.  This could be accomplished, Staff states, by using separate subaccounts.  Tr. pp. 506, 512, 513.  Regarding separate subaccounts, the Company contends that it is not necessary to keep separate books and records.  The Company maintains that it will be able to provide information with respect to these subsystems within the context of its current accounting practices.  </w:t>
      </w:r>
      <w:r>
        <w:rPr>
          <w:vertAlign w:val="baseline"/>
        </w:rPr>
      </w:r>
    </w:p>
    <w:p>
      <w:r>
        <w:rPr>
          <w:color w:val="000000"/>
          <w:rFonts w:ascii="Times New Roman" w:hAnsi="Times New Roman"/>
          <w:sz w:val="24"/>
          <w:vertAlign w:val="baseline"/>
        </w:rPr>
        <w:t xml:space="preserve">Staff also proposes that if the North State Area does not earn sufficient revenue to cover its revenue requirement that the Company’s existing customers be held harmless.  Tr. p. 513.  United Water on rehearing agrees to hold its existing UWI customers harmless.  Such customers, it assures the Commission, will not be asked to subsidize its investment in the Garden City exchange.  Tr. pp. 403, 404, 407.</w:t>
      </w:r>
      <w:r>
        <w:rPr>
          <w:vertAlign w:val="baseline"/>
        </w:rPr>
      </w:r>
    </w:p>
    <w:p>
      <w:r>
        <w:rPr>
          <w:color w:val="000000"/>
          <w:rFonts w:ascii="Times New Roman" w:hAnsi="Times New Roman"/>
          <w:sz w:val="24"/>
          <w:vertAlign w:val="baseline"/>
        </w:rPr>
        <w:t xml:space="preserve">Rate Phase-In</w:t>
      </w:r>
      <w:r>
        <w:rPr>
          <w:vertAlign w:val="baseline"/>
        </w:rPr>
      </w:r>
    </w:p>
    <w:p>
      <w:r>
        <w:rPr>
          <w:color w:val="000000"/>
          <w:rFonts w:ascii="Times New Roman" w:hAnsi="Times New Roman"/>
          <w:sz w:val="24"/>
          <w:vertAlign w:val="baseline"/>
        </w:rPr>
        <w:t xml:space="preserve">In the earlier proceedings United Water proposed an immediate transition to United Water rates for North State customers.  The Neighborhood Associations argued that unless United Water could offer a definite improvement in water quality, the customers would receive no benefit from the rate increase and recommended that the Commission reject the exchange.  The Neighborhood Associations also recommended, should the Commission approve the exchange, that rate increases be phased-in and tied to service quality improvement.</w:t>
      </w:r>
      <w:r>
        <w:rPr>
          <w:vertAlign w:val="baseline"/>
        </w:rPr>
      </w:r>
    </w:p>
    <w:p>
      <w:r>
        <w:rPr>
          <w:color w:val="000000"/>
          <w:rFonts w:ascii="Times New Roman" w:hAnsi="Times New Roman"/>
          <w:sz w:val="24"/>
          <w:vertAlign w:val="baseline"/>
        </w:rPr>
        <w:t xml:space="preserve">On rehearing, the Company proposes a two year transition to full United Water rates following the tie-in to UWI facilities and the expected water pressure improvement that will occur as a result of the tie-in.  Tr. pp. 387-389.  Garden City represents that it lowered the cost of its water during peak season to allow the Company to propose the phase-in.  Tr. pp. 461, 462.</w:t>
      </w:r>
      <w:r>
        <w:rPr>
          <w:vertAlign w:val="baseline"/>
        </w:rPr>
      </w:r>
    </w:p>
    <w:p>
      <w:r>
        <w:rPr>
          <w:color w:val="000000"/>
          <w:rFonts w:ascii="Times New Roman" w:hAnsi="Times New Roman"/>
          <w:sz w:val="24"/>
          <w:vertAlign w:val="baseline"/>
        </w:rPr>
        <w:t xml:space="preserve">United Water represents that water pressure improvement is a relatively objective, straight forward measurement and a better basis for phased-in rates than water quality which tends to be more subjective and presents greater difficulty in quantifying the degree of improvement.  Tr. pp. 365, 378.</w:t>
      </w:r>
      <w:r>
        <w:rPr>
          <w:vertAlign w:val="baseline"/>
        </w:rPr>
      </w:r>
    </w:p>
    <w:p>
      <w:r>
        <w:rPr>
          <w:color w:val="000000"/>
          <w:rFonts w:ascii="Times New Roman" w:hAnsi="Times New Roman"/>
          <w:sz w:val="24"/>
          <w:vertAlign w:val="baseline"/>
        </w:rPr>
        <w:t xml:space="preserve">The Staff does not support a phase-in of rates contending that it will only increase the revenue deficiency and subsidy required from existing customers.  Tr. pp. 487, 494.</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United Water requests an amended Certificate of Convenience and Necessity pursuant to the provisions of Idaho Code §§</w:t>
      </w:r>
      <w:r>
        <w:rPr>
          <w:color w:val="000000"/>
          <w:rFonts w:ascii="Times New Roman" w:hAnsi="Times New Roman"/>
          <w:sz w:val="24"/>
          <w:vertAlign w:val="baseline"/>
        </w:rPr>
        <w:t xml:space="preserve"> 61-526 and 61-528 and the Commission’s Rules of Procedure, IDAPA 31.01.01.112.  The Commission has reviewed and considered the filings of record in United Water Case No. UWI-W-95-2, including our prior Order No. 26367, the petitions for reconsideration and related correspondence, and the transcript of proceedings.  We find that the Company’s filing satisfies the underlying statutory and procedural requirements for certificate applications.</w:t>
      </w:r>
      <w:r>
        <w:rPr>
          <w:vertAlign w:val="baseline"/>
        </w:rPr>
      </w:r>
    </w:p>
    <w:p>
      <w:r>
        <w:rPr>
          <w:color w:val="000000"/>
          <w:rFonts w:ascii="Times New Roman" w:hAnsi="Times New Roman"/>
          <w:sz w:val="24"/>
          <w:vertAlign w:val="baseline"/>
        </w:rPr>
        <w:t xml:space="preserve">United Water and Garden City on rehearing present the Commission with additional reasons why from a system and engineering planning perspective the exchange should be approved.  Decisions made by voters as to the respective boundaries of Boise City and Garden City and the decisions of elected officials of those entities will compel the transfer being proposed.  The question is when. We take special note of the testimony of Garden City regarding infill and growth and the problems presented thereby.  Until Garden City stops providing water service outside its city limits, duplication of facilities and service provision will continue. We cannot in good conscience knowingly permit a continuation of inferior planning and uneconomic investment when we have the authority to end such practice.</w:t>
      </w:r>
      <w:r>
        <w:rPr>
          <w:vertAlign w:val="baseline"/>
        </w:rPr>
      </w:r>
    </w:p>
    <w:p>
      <w:r>
        <w:rPr>
          <w:color w:val="000000"/>
          <w:rFonts w:ascii="Times New Roman" w:hAnsi="Times New Roman"/>
          <w:sz w:val="24"/>
          <w:vertAlign w:val="baseline"/>
        </w:rPr>
        <w:t xml:space="preserve">United Water has failed to convince us however that we should preapprove the amount of the purchase price for rate base purposes outside of a general rate case.  The Company has the burden of demonstrating the prudence of its investment in these facilities when it seeks to include them in rate base.</w:t>
      </w:r>
      <w:r>
        <w:rPr>
          <w:vertAlign w:val="baseline"/>
        </w:rPr>
      </w:r>
    </w:p>
    <w:p>
      <w:r>
        <w:rPr>
          <w:color w:val="000000"/>
          <w:rFonts w:ascii="Times New Roman" w:hAnsi="Times New Roman"/>
          <w:sz w:val="24"/>
          <w:vertAlign w:val="baseline"/>
        </w:rPr>
        <w:t xml:space="preserve">We find that United Water has the present and future ability to provide adequate and satisfactory service at reasonable rates.  We further find that the present and future convenience and necessity would be served by approval of the Exchange Agreement.</w:t>
      </w:r>
      <w:r>
        <w:rPr>
          <w:vertAlign w:val="baseline"/>
        </w:rPr>
      </w:r>
    </w:p>
    <w:p>
      <w:r>
        <w:rPr>
          <w:color w:val="000000"/>
          <w:rFonts w:ascii="Times New Roman" w:hAnsi="Times New Roman"/>
          <w:sz w:val="24"/>
          <w:vertAlign w:val="baseline"/>
        </w:rPr>
        <w:t xml:space="preserve">The Company is directed and required to account for the acquisition of the area in a manner that allows North State Area assets, liabilities, revenues and expenses, including allocated common costs, to be separately identified for regulatory purposes.  This is not a requirement for a separate and distinct set of books, but rather is a requirement that the information be maintained in a fashion that allows it to be separated for presentation and analysis at the appropriate time.</w:t>
      </w:r>
      <w:r>
        <w:rPr>
          <w:vertAlign w:val="baseline"/>
        </w:rPr>
      </w:r>
    </w:p>
    <w:p>
      <w:r>
        <w:rPr>
          <w:color w:val="000000"/>
          <w:rFonts w:ascii="Times New Roman" w:hAnsi="Times New Roman"/>
          <w:sz w:val="24"/>
          <w:vertAlign w:val="baseline"/>
        </w:rPr>
        <w:t xml:space="preserve">We note that the problem of water quality has no guaranteed solution.  The on-peak/off-peak source water proposal will offer those North State customers with water quality problems immediate relief especially during the off-peak months.  United Water is encouraged to explore the other actions it discussed to find other economically feasible means of dealing with this very difficult problem.</w:t>
      </w:r>
      <w:r>
        <w:rPr>
          <w:vertAlign w:val="baseline"/>
        </w:rPr>
      </w:r>
    </w:p>
    <w:p>
      <w:r>
        <w:rPr>
          <w:color w:val="000000"/>
          <w:rFonts w:ascii="Times New Roman" w:hAnsi="Times New Roman"/>
          <w:sz w:val="24"/>
          <w:vertAlign w:val="baseline"/>
        </w:rPr>
        <w:t xml:space="preserve">We find the Company’s rate phase-in proposal to be a reasonable method of transitioning North State Area customers to full UWI rates.  We find the rates and proposed transition schedule to be fair, just and reasonable.  In approving the phase-in or transition rates for these customers and for future customers during the transition, we acknowledge and rely on United Water’s commitment to hold harmless the Company’s other customers, both from the consequence of the rates and from the exchange transaction as a whole.  Accordingly, the revenue deficiency attributable to the phase-in of rates, if any, should not be borne by other United Water customers.</w:t>
      </w:r>
      <w:r>
        <w:rPr>
          <w:vertAlign w:val="baseline"/>
        </w:rPr>
      </w:r>
    </w:p>
    <w:p>
      <w:r>
        <w:rPr>
          <w:color w:val="000000"/>
          <w:rFonts w:ascii="Times New Roman" w:hAnsi="Times New Roman"/>
          <w:sz w:val="24"/>
          <w:vertAlign w:val="baseline"/>
        </w:rPr>
        <w:t xml:space="preserve">The Company is well advised and directed to follow through with its committment to establish a “customer liaison team” (Tr. p. 391) during this transitional period.  Effective communication with customers is essential to the Company’s operations, especially during the transition that the North State customers will experience.</w:t>
      </w:r>
      <w:r>
        <w:rPr>
          <w:vertAlign w:val="baseline"/>
        </w:rPr>
      </w:r>
    </w:p>
    <w:p>
      <w:r>
        <w:rPr>
          <w:color w:val="000000"/>
          <w:rFonts w:ascii="Times New Roman" w:hAnsi="Times New Roman"/>
          <w:sz w:val="24"/>
          <w:vertAlign w:val="baseline"/>
        </w:rPr>
        <w:t xml:space="preserve">We encourage the Company to also explore the continued use of existing North State Area meters from a cost/benefit basis.  We make this recommendation in light of the Company’s similar proposal in the Warm Springs Mesa case, Case No. UWI-W-96-1/WSM-W-96-1.</w:t>
      </w:r>
      <w:r>
        <w:rPr>
          <w:vertAlign w:val="baseline"/>
        </w:rPr>
      </w:r>
    </w:p>
    <w:p>
      <w:r>
        <w:rPr>
          <w:vertAlign w:val="baseline"/>
        </w:rPr>
      </w:r>
    </w:p>
    <w:p>
      <w:r>
        <w:rPr>
          <w:color w:val="000000"/>
          <w:rFonts w:ascii="Times New Roman" w:hAnsi="Times New Roman"/>
          <w:sz w:val="24"/>
          <w:vertAlign w:val="baseline"/>
        </w:rPr>
        <w:t xml:space="preserve">CONCLUSION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and the issues presented in Case No. UWI-W-95-2, pursuant to the authority and  power granted the Commission under Title 61 of the Idaho Code and pursuant to the Commission’s </w:t>
      </w:r>
      <w:r>
        <w:rPr>
          <w:color w:val="000000"/>
          <w:rFonts w:ascii="Times New Roman" w:hAnsi="Times New Roman"/>
          <w:sz w:val="24"/>
          <w:vertAlign w:val="baseline"/>
        </w:rPr>
        <w:t xml:space="preserve">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Certificate of Public Convenience and Necessity of United Water Idaho Inc. be amended to reflect the addition of the particular areas described and reflected in the Service Area Exchange Agreement and more generally described as the North State Area, and the deletion of the particular area described as the Millstream Area.  United Water Idaho Inc. is directed to prepare and file an amended certificate for Commission approval.</w:t>
      </w:r>
      <w:r>
        <w:rPr>
          <w:vertAlign w:val="baseline"/>
        </w:rPr>
      </w:r>
    </w:p>
    <w:p>
      <w:r>
        <w:rPr>
          <w:color w:val="000000"/>
          <w:rFonts w:ascii="Times New Roman" w:hAnsi="Times New Roman"/>
          <w:sz w:val="24"/>
          <w:vertAlign w:val="baseline"/>
        </w:rPr>
        <w:t xml:space="preserve">IT IS FURTHER ORDERED and United Water Idaho Inc. is authorized to charge customers in the North State Area the proposed transition or phase-in rates as more particularly described above, and is directed to prepare and file compliance tariffs reflecting such rates.</w:t>
      </w:r>
      <w:r>
        <w:rPr>
          <w:vertAlign w:val="baseline"/>
        </w:rPr>
      </w:r>
    </w:p>
    <w:p>
      <w:r>
        <w:rPr>
          <w:color w:val="000000"/>
          <w:rFonts w:ascii="Times New Roman" w:hAnsi="Times New Roman"/>
          <w:sz w:val="24"/>
          <w:vertAlign w:val="baseline"/>
        </w:rPr>
        <w:t xml:space="preserve">IT IS FURTHER ORDERED </w:t>
      </w:r>
      <w:r>
        <w:rPr>
          <w:color w:val="000000"/>
          <w:rFonts w:ascii="Times New Roman" w:hAnsi="Times New Roman"/>
          <w:sz w:val="24"/>
          <w:vertAlign w:val="baseline"/>
        </w:rPr>
        <w:t xml:space="preserve">and United Water Idaho Inc. is directed and required to account for the acquisition of the North State Area system in a manner that allows its North State Area system assets, liabilities, revenues and expenses, including allocated common costs, to be separately identified for regulatory purposes.</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UWI-W-95-2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vld/O:uwiw952.sw4</w:t>
      </w:r>
      <w:r>
        <w:rPr>
          <w:vertAlign w:val="baseline"/>
        </w:rPr>
      </w:r>
    </w:p>
    <w:p>
      <w:r>
        <w:rPr>
          <w:color w:val="000000"/>
          <w:rFonts w:ascii="Times New Roman" w:hAnsi="Times New Roman"/>
          <w:sz w:val="24"/>
          <w:vertAlign w:val="baseline"/>
        </w:rPr>
        <w:t xml:space="preserve">DISSENT FOR</w:t>
      </w:r>
      <w:r>
        <w:rPr>
          <w:vertAlign w:val="baseline"/>
        </w:rPr>
      </w:r>
    </w:p>
    <w:p>
      <w:r>
        <w:rPr>
          <w:color w:val="000000"/>
          <w:rFonts w:ascii="Times New Roman" w:hAnsi="Times New Roman"/>
          <w:sz w:val="24"/>
          <w:vertAlign w:val="baseline"/>
        </w:rPr>
        <w:t xml:space="preserve">COMMISSIONER DENNIS HANSEN</w:t>
      </w:r>
      <w:r>
        <w:rPr>
          <w:vertAlign w:val="baseline"/>
        </w:rPr>
      </w:r>
    </w:p>
    <w:p>
      <w:r>
        <w:rPr>
          <w:color w:val="000000"/>
          <w:rFonts w:ascii="Times New Roman" w:hAnsi="Times New Roman"/>
          <w:sz w:val="24"/>
          <w:vertAlign w:val="baseline"/>
        </w:rPr>
        <w:t xml:space="preserve">IN CASE NO. UWI-W-95-2</w:t>
      </w:r>
      <w:r>
        <w:rPr>
          <w:vertAlign w:val="baseline"/>
        </w:rPr>
      </w:r>
    </w:p>
    <w:p>
      <w:r>
        <w:rPr>
          <w:vertAlign w:val="baseline"/>
        </w:rPr>
      </w:r>
    </w:p>
    <w:p>
      <w:r>
        <w:rPr>
          <w:color w:val="000000"/>
          <w:rFonts w:ascii="Times New Roman" w:hAnsi="Times New Roman"/>
          <w:sz w:val="24"/>
          <w:vertAlign w:val="baseline"/>
        </w:rPr>
        <w:t xml:space="preserve">I must respectfully dissent from the decision of my colleagues.  Based on my review of the record developed in this case, I am unable to find that United Water has demonstrated a compelling reason for approval of the Exchange Agreement.  Putting aside the Memorandum of Understanding and the hydraulic and planning challenges that service to the area presents to Garden City, United Water is unable to demonstrate public support for its proposal and has failed to effectively demonstrate how the Agreement presents a win-win-win result for existing UWI customers, the Company and North State Area customers.  It is most troubling that the affected customers, the human element, have been left out of the equation.  What we have been presented with are reasons for ignoring the customers’ preference and choice.  </w:t>
      </w:r>
      <w:r>
        <w:rPr>
          <w:vertAlign w:val="baseline"/>
        </w:rPr>
      </w:r>
    </w:p>
    <w:p>
      <w:r>
        <w:rPr>
          <w:color w:val="000000"/>
          <w:rFonts w:ascii="Times New Roman" w:hAnsi="Times New Roman"/>
          <w:sz w:val="24"/>
          <w:vertAlign w:val="baseline"/>
        </w:rPr>
        <w:t xml:space="preserve">It appears from the record that not all North State customers experience problems with water quality or pressure.  To those customers who have adequate water service, a change only in service provider hardly seems reason enough for a significant increase in the price of water.  For those customers experiencing water quality problems, it also appears there are too many “ifs” and no real defined plan for water quality improvement.  The Company offers no guarantees as to either water quality or water pressure improvement.  The Company has a significant water quality problem in some of its own service wells and has been studying the problem for years.  We are now informed that it must continue to study the problem for up to two more years before it can offer a tentative solution.  Let the Company come back to these customers when it can offer them something other than an empty promise. </w:t>
      </w:r>
      <w:r>
        <w:rPr>
          <w:vertAlign w:val="baseline"/>
        </w:rPr>
      </w:r>
    </w:p>
    <w:p>
      <w:r>
        <w:rPr>
          <w:color w:val="000000"/>
          <w:rFonts w:ascii="Times New Roman" w:hAnsi="Times New Roman"/>
          <w:sz w:val="24"/>
          <w:vertAlign w:val="baseline"/>
        </w:rPr>
        <w:t xml:space="preserve">I must also disagree with the contention of those who argue that infill growth requires an immediate realignment of the service areas.  By the Company’s own estimates only 15 new customers are projected in the North State Area over the next two years, with all of that growth occurring in the second year.  UWI Exhibits 5, 6.  Garden City indicates that within the North State Area (Clarendon Hills, Hillsborough Estates, Forge Village and miscellaneous other infill areas) service facilities for 115 additional customers have already been installed and are awaiting hook-up or construction.  Tr. p. 34.  It therefore seems reasonable that this is where most near term growth will occur, not in areas to which facilities have not been extended nor in areas requiring significant additional investment.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HANSEN,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