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LYNN ANDERSON</w:t>
      </w:r>
      <w:r>
        <w:rPr/>
      </w:r>
    </w:p>
    <w:p>
      <w:r>
        <w:rPr>
          <w:color w:val="000000"/>
          <w:rFonts w:ascii="Times New Roman" w:hAnsi="Times New Roman"/>
          <w:sz w:val="22"/>
        </w:rPr>
        <w:t xml:space="preserve">JUDY STOKES</w:t>
      </w:r>
      <w:r>
        <w:rPr/>
      </w:r>
    </w:p>
    <w:p>
      <w:r>
        <w:rPr>
          <w:color w:val="000000"/>
          <w:rFonts w:ascii="Times New Roman" w:hAnsi="Times New Roman"/>
          <w:sz w:val="22"/>
        </w:rPr>
        <w:t xml:space="preserve">RANDY LOBB</w:t>
      </w:r>
      <w:r>
        <w:rPr/>
      </w:r>
    </w:p>
    <w:p>
      <w:r>
        <w:rPr>
          <w:color w:val="000000"/>
          <w:rFonts w:ascii="Times New Roman" w:hAnsi="Times New Roman"/>
          <w:sz w:val="22"/>
        </w:rPr>
        <w:t xml:space="preserve">DAVID SCOTT</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DATE:FEBRUARY 18, 1996</w:t>
      </w:r>
      <w:r>
        <w:rPr/>
      </w:r>
    </w:p>
    <w:p>
      <w:r>
        <w:rPr/>
      </w:r>
    </w:p>
    <w:p>
      <w:r>
        <w:rPr>
          <w:color w:val="000000"/>
          <w:rFonts w:ascii="Times New Roman" w:hAnsi="Times New Roman"/>
          <w:sz w:val="22"/>
        </w:rPr>
        <w:t xml:space="preserve">RE:CASE NO. UWI-W-96-6</w:t>
      </w:r>
      <w:r>
        <w:rPr/>
      </w:r>
    </w:p>
    <w:p>
      <w:r>
        <w:rPr>
          <w:color w:val="000000"/>
          <w:rFonts w:ascii="Times New Roman" w:hAnsi="Times New Roman"/>
          <w:sz w:val="22"/>
        </w:rPr>
        <w:t xml:space="preserve">INVESTIGATION—SERVICE/WATER QUALITY</w:t>
      </w:r>
      <w:r>
        <w:rPr/>
      </w:r>
    </w:p>
    <w:p>
      <w:r>
        <w:rPr>
          <w:color w:val="000000"/>
          <w:rFonts w:ascii="Times New Roman" w:hAnsi="Times New Roman"/>
          <w:sz w:val="22"/>
        </w:rPr>
        <w:t xml:space="preserve">MOTION FOR EXTENSION OF TIME</w:t>
      </w:r>
      <w:r>
        <w:rPr/>
      </w:r>
    </w:p>
    <w:p>
      <w:r>
        <w:rPr/>
      </w:r>
    </w:p>
    <w:p>
      <w:r>
        <w:rPr/>
      </w:r>
    </w:p>
    <w:p>
      <w:r>
        <w:rPr>
          <w:color w:val="000000"/>
          <w:rFonts w:ascii="Times New Roman" w:hAnsi="Times New Roman"/>
          <w:sz w:val="22"/>
        </w:rPr>
        <w:t xml:space="preserve">On November 7, 1996, the Commission issued Order No. 26673 initiating Case No. UWI-W-96-6.  The Commission’s Order allowed a 75-day discovery period and an additional 30 days (to February 20) in which the Staff was to file a report detailing the nature and extent of the Company’s water quality (iron and manganese) problem, the Company’s efforts to address the problem (technical and customer relations), and alternatives for mitigating or eliminating the problem (including estimated costs).  </w:t>
      </w:r>
      <w:r>
        <w:rPr/>
      </w:r>
    </w:p>
    <w:p>
      <w:r>
        <w:rPr>
          <w:color w:val="000000"/>
          <w:rFonts w:ascii="Times New Roman" w:hAnsi="Times New Roman"/>
          <w:sz w:val="22"/>
        </w:rPr>
        <w:t xml:space="preserve">On February 14, 1997, Commission Staff in Case No. UWI-W-96-6 filed a Motion (attached) requesting a 90-day extension of time for filing its final investigative report.  Staff contends that additional time is needed to conduct further investigation and explore various solutions with United Water.  Accompanying Staff’s Motion is a status report detailing Staff’s preliminary analyses of water quality problems, alternative solutions, costs incurred, customer complaints and complaint processing.  </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Staff has requested a 90-day extension of time for filing its final investigative report in Case No. UWI-W-96-6.  Does the Commission find it reasonable to authorize the requested extension?  If not, what is the Commission’s preference?</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D. Woodbury</w:t>
      </w:r>
      <w:r>
        <w:rPr/>
      </w:r>
    </w:p>
    <w:p>
      <w:r>
        <w:rPr>
          <w:color w:val="000000"/>
          <w:rFonts w:ascii="Times New Roman" w:hAnsi="Times New Roman"/>
          <w:sz w:val="18"/>
        </w:rPr>
        <w:t xml:space="preserve">bls/M-uwiw966.sw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