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NOTICE OF SCHEDULING  </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3, 1997, United Water Idaho, Inc. (United Water; Company) filed an Application with the Idaho Public Utilities Commission (Commission) for authority to increase its rates and charges for water service.  Supporting workpapers and documentation were filed by the Company on November 14, 1997.  The overall increase in annual revenue requested is $3,424,516, or an increase of 15.47% over current rates.  </w:t>
      </w:r>
      <w:r>
        <w:rPr>
          <w:vertAlign w:val="baseline"/>
        </w:rPr>
      </w:r>
    </w:p>
    <w:p>
      <w:r>
        <w:rPr>
          <w:color w:val="000000"/>
          <w:rFonts w:ascii="Times New Roman" w:hAnsi="Times New Roman"/>
          <w:sz w:val="24"/>
          <w:vertAlign w:val="baseline"/>
        </w:rPr>
        <w:t xml:space="preserve">The Commission in Order No. 27229 issued November 20, 1997, determined that the identified service and water quality issues raised in the filings and submitted investigative reports in Case No. UWI-W-96-6 (In the matter of the investigation of United Water Idaho Inc. and its ability to provide adequate service and water quality) are also at issue in this Case No. UWI-W-97-6.</w:t>
      </w:r>
      <w:r>
        <w:rPr>
          <w:vertAlign w:val="baseline"/>
        </w:rPr>
      </w:r>
    </w:p>
    <w:p>
      <w:r>
        <w:rPr>
          <w:color w:val="000000"/>
          <w:rFonts w:ascii="Times New Roman" w:hAnsi="Times New Roman"/>
          <w:sz w:val="24"/>
          <w:vertAlign w:val="baseline"/>
        </w:rPr>
        <w:t xml:space="preserve">A prehearing conference in Case No. UWI-W-97-6 was held in Boise, Idaho on December 12, 1997.  </w:t>
      </w:r>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scheduling has been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6,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March 18, 1998</w:t>
            </w:r>
            <w:r>
              <w:rPr>
                <w:vertAlign w:val="baseline"/>
              </w:rPr>
            </w:r>
          </w:p>
          <w:p>
            <w:r>
              <w:rPr>
                <w:vertAlign w:val="baseline"/>
              </w:rPr>
            </w:r>
          </w:p>
          <w:p>
            <w:r>
              <w:rPr>
                <w:color w:val="000000"/>
                <w:rFonts w:ascii="Times New Roman" w:hAnsi="Times New Roman"/>
                <w:sz w:val="24"/>
                <w:vertAlign w:val="baseline"/>
              </w:rPr>
              <w:t xml:space="preserve">March 27, 1998</w:t>
            </w:r>
            <w:r>
              <w:rPr>
                <w:vertAlign w:val="baseline"/>
              </w:rPr>
            </w:r>
          </w:p>
          <w:p>
            <w:r>
              <w:rPr>
                <w:vertAlign w:val="baseline"/>
              </w:rPr>
            </w:r>
          </w:p>
          <w:p>
            <w:r>
              <w:rPr>
                <w:color w:val="000000"/>
                <w:rFonts w:ascii="Times New Roman" w:hAnsi="Times New Roman"/>
                <w:sz w:val="24"/>
                <w:vertAlign w:val="baseline"/>
              </w:rPr>
              <w:t xml:space="preserve">April 13,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deadline —direct testimony</w:t>
            </w:r>
            <w:r>
              <w:rPr>
                <w:vertAlign w:val="baseline"/>
              </w:rPr>
            </w:r>
          </w:p>
          <w:p>
            <w:r>
              <w:rPr>
                <w:color w:val="000000"/>
                <w:rFonts w:ascii="Times New Roman" w:hAnsi="Times New Roman"/>
                <w:sz w:val="24"/>
                <w:vertAlign w:val="baseline"/>
              </w:rPr>
              <w:t xml:space="preserve">Staff/Intervenor </w:t>
            </w:r>
            <w:r>
              <w:rPr>
                <w:vertAlign w:val="baseline"/>
              </w:rPr>
            </w:r>
          </w:p>
          <w:p>
            <w:r>
              <w:rPr>
                <w:vertAlign w:val="baseline"/>
              </w:rPr>
            </w:r>
          </w:p>
          <w:p>
            <w:r>
              <w:rPr>
                <w:color w:val="000000"/>
                <w:rFonts w:ascii="Times New Roman" w:hAnsi="Times New Roman"/>
                <w:sz w:val="24"/>
                <w:vertAlign w:val="baseline"/>
              </w:rPr>
              <w:t xml:space="preserve">Production request deadline (“in-hand”)</w:t>
            </w:r>
            <w:r>
              <w:rPr>
                <w:vertAlign w:val="baseline"/>
              </w:rPr>
            </w:r>
          </w:p>
          <w:p>
            <w:r>
              <w:rPr>
                <w:vertAlign w:val="baseline"/>
              </w:rPr>
            </w:r>
          </w:p>
          <w:p>
            <w:r>
              <w:rPr>
                <w:color w:val="000000"/>
                <w:rFonts w:ascii="Times New Roman" w:hAnsi="Times New Roman"/>
                <w:sz w:val="24"/>
                <w:vertAlign w:val="baseline"/>
              </w:rPr>
              <w:t xml:space="preserve">Production response deadline (“in-hand”)</w:t>
            </w:r>
            <w:r>
              <w:rPr>
                <w:vertAlign w:val="baseline"/>
              </w:rPr>
            </w:r>
          </w:p>
          <w:p>
            <w:r>
              <w:rPr>
                <w:vertAlign w:val="baseline"/>
              </w:rPr>
            </w:r>
          </w:p>
          <w:p>
            <w:r>
              <w:rPr>
                <w:color w:val="000000"/>
                <w:rFonts w:ascii="Times New Roman" w:hAnsi="Times New Roman"/>
                <w:sz w:val="24"/>
                <w:vertAlign w:val="baseline"/>
              </w:rPr>
              <w:t xml:space="preserve">Prefile deadline—rebuttal testimony</w:t>
            </w:r>
            <w:r>
              <w:rPr>
                <w:vertAlign w:val="baseline"/>
              </w:rPr>
            </w:r>
          </w:p>
        </w:tc>
      </w:tr>
    </w:tbl>
    <w:p>
      <w:pPr/>
    </w:p>
    <w:p>
      <w:r>
        <w:rPr>
          <w:vertAlign w:val="baseline"/>
        </w:rPr>
      </w:r>
    </w:p>
    <w:p>
      <w:r>
        <w:rPr>
          <w:color w:val="000000"/>
          <w:rFonts w:ascii="Times New Roman" w:hAnsi="Times New Roman"/>
          <w:sz w:val="24"/>
          <w:vertAlign w:val="baseline"/>
        </w:rPr>
        <w:t xml:space="preserve">Pursuant to agreement, all prefile dates are “in-hand” dates.  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the established prefile deadlines.</w:t>
      </w:r>
      <w:r>
        <w:rPr>
          <w:vertAlign w:val="baseline"/>
        </w:rPr>
      </w:r>
    </w:p>
    <w:p>
      <w:r>
        <w:rPr>
          <w:color w:val="000000"/>
          <w:rFonts w:ascii="Times New Roman" w:hAnsi="Times New Roman"/>
          <w:sz w:val="24"/>
          <w:vertAlign w:val="baseline"/>
        </w:rPr>
        <w:t xml:space="preserve">YOU ARE FURTHER NOTIFIED that the Commission will conduct a </w:t>
      </w:r>
      <w:r>
        <w:rPr>
          <w:color w:val="000000"/>
          <w:rFonts w:ascii="Times New Roman" w:hAnsi="Times New Roman"/>
          <w:sz w:val="24"/>
          <w:vertAlign w:val="baseline"/>
        </w:rPr>
        <w:t xml:space="preserve">technical hearing </w:t>
      </w:r>
      <w:r>
        <w:rPr>
          <w:color w:val="000000"/>
          <w:rFonts w:ascii="Times New Roman" w:hAnsi="Times New Roman"/>
          <w:sz w:val="24"/>
          <w:vertAlign w:val="baseline"/>
        </w:rPr>
        <w:t xml:space="preserve">in Case No. UWI-W-97-6 commencing at </w:t>
      </w:r>
      <w:r>
        <w:rPr>
          <w:color w:val="000000"/>
          <w:rFonts w:ascii="Times New Roman" w:hAnsi="Times New Roman"/>
          <w:sz w:val="24"/>
          <w:vertAlign w:val="baseline"/>
        </w:rPr>
        <w:t xml:space="preserve">9:30 A.M., WEDNESDAY, APRIL 22, 1998, AT THE COMMISSION HEARING ROOM, 472 WEST WASHINGTON, BOISE, IDAHO,</w:t>
      </w:r>
      <w:r>
        <w:rPr>
          <w:color w:val="000000"/>
          <w:rFonts w:ascii="Times New Roman" w:hAnsi="Times New Roman"/>
          <w:sz w:val="24"/>
          <w:vertAlign w:val="baseline"/>
        </w:rPr>
        <w:t xml:space="preserve"> and continuing if necessary on </w:t>
      </w:r>
      <w:r>
        <w:rPr>
          <w:color w:val="000000"/>
          <w:rFonts w:ascii="Times New Roman" w:hAnsi="Times New Roman"/>
          <w:sz w:val="24"/>
          <w:vertAlign w:val="baseline"/>
        </w:rPr>
        <w:t xml:space="preserve">Thursday, April 23 and Friday, April 24, 1998, at the same location</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will convene an </w:t>
      </w:r>
      <w:r>
        <w:rPr>
          <w:color w:val="000000"/>
          <w:rFonts w:ascii="Times New Roman" w:hAnsi="Times New Roman"/>
          <w:sz w:val="24"/>
          <w:vertAlign w:val="baseline"/>
        </w:rPr>
        <w:t xml:space="preserve">evening hearing</w:t>
      </w:r>
      <w:r>
        <w:rPr>
          <w:color w:val="000000"/>
          <w:rFonts w:ascii="Times New Roman" w:hAnsi="Times New Roman"/>
          <w:sz w:val="24"/>
          <w:vertAlign w:val="baseline"/>
        </w:rPr>
        <w:t xml:space="preserve"> in Case No. UWI-W-97-6 for the purpose of receiving </w:t>
      </w:r>
      <w:r>
        <w:rPr>
          <w:color w:val="000000"/>
          <w:rFonts w:ascii="Times New Roman" w:hAnsi="Times New Roman"/>
          <w:sz w:val="24"/>
          <w:vertAlign w:val="baseline"/>
        </w:rPr>
        <w:t xml:space="preserve">public comment</w:t>
      </w:r>
      <w:r>
        <w:rPr>
          <w:color w:val="000000"/>
          <w:rFonts w:ascii="Times New Roman" w:hAnsi="Times New Roman"/>
          <w:sz w:val="24"/>
          <w:vertAlign w:val="baseline"/>
        </w:rPr>
        <w:t xml:space="preserve"> on </w:t>
      </w:r>
      <w:r>
        <w:rPr>
          <w:color w:val="000000"/>
          <w:rFonts w:ascii="Times New Roman" w:hAnsi="Times New Roman"/>
          <w:sz w:val="24"/>
          <w:vertAlign w:val="baseline"/>
        </w:rPr>
        <w:t xml:space="preserve">WEDNESDAY, APRIL 22, 1998 COMMENCING AT 6:30 P.M. AT THE SAME LOCATION AS THE TECHNICAL HEARING.</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December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