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APPROVAL OF COST OF SERVICE ALLOCATION AND RATE DESIGN.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UWI-W-98-3</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color w:val="000000"/>
                <w:rFonts w:ascii="Times New Roman" w:hAnsi="Times New Roman"/>
                <w:sz w:val="24"/>
                <w:vertAlign w:val="baseline"/>
              </w:rPr>
              <w:t xml:space="preserve">NOTICE OF INTERVENTION</w:t>
            </w:r>
            <w:r>
              <w:rPr>
                <w:vertAlign w:val="baseline"/>
              </w:rPr>
            </w:r>
          </w:p>
          <w:p>
            <w:r>
              <w:rPr>
                <w:color w:val="000000"/>
                <w:rFonts w:ascii="Times New Roman" w:hAnsi="Times New Roman"/>
                <w:sz w:val="24"/>
                <w:vertAlign w:val="baseline"/>
              </w:rPr>
              <w:t xml:space="preserve">           DEADLINE</w:t>
            </w:r>
            <w:r>
              <w:rPr>
                <w:vertAlign w:val="baseline"/>
              </w:rPr>
            </w:r>
          </w:p>
          <w:p>
            <w:r>
              <w:rPr>
                <w:color w:val="000000"/>
                <w:rFonts w:ascii="Times New Roman" w:hAnsi="Times New Roman"/>
                <w:sz w:val="24"/>
                <w:vertAlign w:val="baseline"/>
              </w:rPr>
              <w:t xml:space="preserve">NOTICE OF SCHEDULING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6, 1998, the Idaho Public Utilities Commission (Commission) issued final Order  No. 27617 in United Water Idaho Inc. (United Water; Company) Case No. UWI-W-97-6, the revenue requirement phase of the Company’s general rate case.  In its Order, the Commission directed the Company to file a separate cost-of-service and rate design application within thirty (30) days from the date of the Order.  </w:t>
      </w:r>
      <w:r>
        <w:rPr>
          <w:vertAlign w:val="baseline"/>
        </w:rPr>
      </w:r>
    </w:p>
    <w:p>
      <w:r>
        <w:rPr>
          <w:color w:val="000000"/>
          <w:rFonts w:ascii="Times New Roman" w:hAnsi="Times New Roman"/>
          <w:sz w:val="24"/>
          <w:vertAlign w:val="baseline"/>
        </w:rPr>
        <w:t xml:space="preserve">YOU ARE HEREBY NOTIFIED that on August 13, 1998, in Case No. UWI-W-98-3 United Water filed an Application with the Commission requesting approval of the Company’s submitted cost of service allocation study and rate design proposal.  The proposed rate design includes the following features: </w:t>
      </w:r>
      <w:r>
        <w:rPr>
          <w:vertAlign w:val="baseline"/>
        </w:rPr>
      </w:r>
    </w:p>
    <w:p>
      <w:r>
        <w:rPr>
          <w:color w:val="000000"/>
          <w:rFonts w:ascii="Times New Roman" w:hAnsi="Times New Roman"/>
          <w:sz w:val="24"/>
          <w:vertAlign w:val="baseline"/>
        </w:rPr>
        <w:t xml:space="preserve">∙A customer charge recovering costs associated with billing, meters, service and fire protection;</w:t>
      </w:r>
      <w:r>
        <w:rPr>
          <w:vertAlign w:val="baseline"/>
        </w:rPr>
      </w:r>
    </w:p>
    <w:p>
      <w:r>
        <w:rPr>
          <w:vertAlign w:val="baseline"/>
        </w:rPr>
      </w:r>
    </w:p>
    <w:p>
      <w:r>
        <w:rPr>
          <w:color w:val="000000"/>
          <w:rFonts w:ascii="Times New Roman" w:hAnsi="Times New Roman"/>
          <w:sz w:val="24"/>
          <w:vertAlign w:val="baseline"/>
        </w:rPr>
        <w:t xml:space="preserve">∙A volumetric or commodity charge that is an inverted three block rate structure that would charge higher rates as volumes increase (departure from existing summer/winter rates).</w:t>
      </w:r>
      <w:r>
        <w:rPr>
          <w:vertAlign w:val="baseline"/>
        </w:rPr>
      </w:r>
    </w:p>
    <w:p>
      <w:r>
        <w:rPr>
          <w:vertAlign w:val="baseline"/>
        </w:rPr>
      </w:r>
    </w:p>
    <w:p>
      <w:r>
        <w:rPr>
          <w:color w:val="000000"/>
          <w:rFonts w:ascii="Times New Roman" w:hAnsi="Times New Roman"/>
          <w:sz w:val="24"/>
          <w:vertAlign w:val="baseline"/>
        </w:rPr>
        <w:t xml:space="preserve">In Order No. 27617 the Commission granted the Company leave to present information in its cost of service/rate design phase regarding a proposed adjustment related to Micron’s reuse/efficiency program.  Micron is the Company’s largest consumer of water.  The Company proposes to reduce the test year consumption figures for Micron based on projected use.  The effect would be to increase rates to remaining customers.  United Water presents a witness in this case regarding this adjustment.  The issue is whether the proposed change in consumption by Micron is sufficiently known and measurable to adjust test year data.</w:t>
      </w:r>
      <w:r>
        <w:rPr>
          <w:vertAlign w:val="baseline"/>
        </w:rPr>
      </w:r>
    </w:p>
    <w:p>
      <w:r>
        <w:rPr>
          <w:color w:val="000000"/>
          <w:rFonts w:ascii="Times New Roman" w:hAnsi="Times New Roman"/>
          <w:sz w:val="24"/>
          <w:vertAlign w:val="baseline"/>
        </w:rPr>
        <w:t xml:space="preserve">YOU ARE FURTHER NOTIFIED that the Commission may determine the spread or allocation or relative increase or decrease in any rate or charge to be other than that proposed by the Company.  In particular, the Commission may consolidate existing rate groups, create additional rate groups, consolidate multi-block rate structures, create multi-block rate structures, or otherwise change the relative or absolute relationships among customers of United Water.  The rates of all customers of United Water in the state of Idaho, including those governed by special contract, are at issue and subject to change in this proceeding.</w:t>
      </w:r>
      <w:r>
        <w:rPr>
          <w:vertAlign w:val="baseline"/>
        </w:rPr>
      </w:r>
    </w:p>
    <w:p>
      <w:r>
        <w:rPr>
          <w:color w:val="000000"/>
          <w:rFonts w:ascii="Times New Roman" w:hAnsi="Times New Roman"/>
          <w:sz w:val="24"/>
          <w:vertAlign w:val="baseline"/>
        </w:rPr>
        <w:t xml:space="preserve">YOU ARE FURTHER NOTIFIED that the Application in Case No. UWI-W-98-3 (including the Company’s direct testimony and exhibits) can be reviewed during regular business hours at the Commission’s office and at the general office of United Water Idaho Inc.  (8248 West Victory Road, Boise, Idaho).</w:t>
      </w:r>
      <w:r>
        <w:rPr>
          <w:vertAlign w:val="baseline"/>
        </w:rPr>
      </w:r>
    </w:p>
    <w:p>
      <w:r>
        <w:rPr>
          <w:color w:val="000000"/>
          <w:rFonts w:ascii="Times New Roman" w:hAnsi="Times New Roman"/>
          <w:sz w:val="24"/>
          <w:vertAlign w:val="baseline"/>
        </w:rPr>
        <w:t xml:space="preserve">YOU ARE FURTHER NOTIFIED that any person desiring to intervene in Case No. UWI-W-98-3 for the purpose of becoming a party, i.e., to present evidence, to acquire the rights of cross-examination, to participate in settlement or negotiation conferences, and to make and argue motions must file a Petition to Intervene with the Commission pursuant to Rules 72 and 73 of the Commission’s Rules of Procedure, IDAPA 31.01.01.072-073. </w:t>
      </w:r>
      <w:r>
        <w:rPr>
          <w:color w:val="000000"/>
          <w:rFonts w:ascii="Times New Roman" w:hAnsi="Times New Roman"/>
          <w:sz w:val="24"/>
          <w:vertAlign w:val="baseline"/>
        </w:rPr>
        <w:t xml:space="preserve">The</w:t>
      </w:r>
      <w:r>
        <w:rPr>
          <w:color w:val="000000"/>
          <w:rFonts w:ascii="Times New Roman" w:hAnsi="Times New Roman"/>
          <w:sz w:val="24"/>
          <w:vertAlign w:val="baseline"/>
        </w:rPr>
        <w:t xml:space="preserve"> deadline for filing a Petition to Intervene </w:t>
      </w:r>
      <w:r>
        <w:rPr>
          <w:color w:val="000000"/>
          <w:rFonts w:ascii="Times New Roman" w:hAnsi="Times New Roman"/>
          <w:sz w:val="24"/>
          <w:vertAlign w:val="baseline"/>
        </w:rPr>
        <w:t xml:space="preserve">in Case No. UWI-W-98-3 is </w:t>
      </w:r>
      <w:r>
        <w:rPr>
          <w:color w:val="000000"/>
          <w:rFonts w:ascii="Times New Roman" w:hAnsi="Times New Roman"/>
          <w:sz w:val="24"/>
          <w:vertAlign w:val="baseline"/>
        </w:rPr>
        <w:t xml:space="preserve">Friday, September 18, 1998.</w:t>
      </w:r>
      <w:r>
        <w:rPr>
          <w:vertAlign w:val="baseline"/>
        </w:rPr>
      </w:r>
    </w:p>
    <w:p>
      <w:r>
        <w:rPr>
          <w:color w:val="000000"/>
          <w:rFonts w:ascii="Times New Roman" w:hAnsi="Times New Roman"/>
          <w:sz w:val="24"/>
          <w:vertAlign w:val="baseline"/>
        </w:rPr>
        <w:t xml:space="preserve">YOU ARE FURTHER NOTIFIED that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pursuant to agreement of the Company and the Commission, the following scheduling has been adopted:</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November 20, 1998</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Prefile deadline—direct testimony Staff/Intervenor</w:t>
            </w:r>
            <w:r>
              <w:rPr>
                <w:vertAlign w:val="baseline"/>
              </w:rPr>
            </w:r>
          </w:p>
        </w:tc>
      </w:tr>
    </w:tbl>
    <w:p>
      <w:pPr/>
    </w:p>
    <w:p>
      <w:r>
        <w:rPr>
          <w:color w:val="000000"/>
          <w:rFonts w:ascii="Times New Roman" w:hAnsi="Times New Roman"/>
          <w:sz w:val="24"/>
          <w:vertAlign w:val="baseline"/>
        </w:rPr>
        <w:t xml:space="preserve">Pursuant to agreement, all prefile dates are “in-hand” dates.  The prepared testimony and exhibits must conform to the requirements of Rules 266 and 267 of the Commission’s Rules of Procedure.  Reference IDAPA 31.01.01.266-267.</w:t>
      </w:r>
      <w:r>
        <w:rPr>
          <w:vertAlign w:val="baseline"/>
        </w:rPr>
      </w:r>
    </w:p>
    <w:p>
      <w:r>
        <w:rPr>
          <w:color w:val="000000"/>
          <w:rFonts w:ascii="Times New Roman" w:hAnsi="Times New Roman"/>
          <w:sz w:val="24"/>
          <w:vertAlign w:val="baseline"/>
        </w:rPr>
        <w:t xml:space="preserve">The parties are apprised that discovery is available pursuant to Commission Rules of Procedure, IDAPA 31.01.01.221-234.  The parties should coordinate discovery requests and responses so that they are able to comply with the established prefile deadlines.</w:t>
      </w:r>
      <w:r>
        <w:rPr>
          <w:vertAlign w:val="baseline"/>
        </w:rPr>
      </w:r>
    </w:p>
    <w:p>
      <w:r>
        <w:rPr>
          <w:color w:val="000000"/>
          <w:rFonts w:ascii="Times New Roman" w:hAnsi="Times New Roman"/>
          <w:sz w:val="24"/>
          <w:vertAlign w:val="baseline"/>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all communications with reference to this Application should be served upon the Commission and the following representatives of United Water.</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COMMISSION SECRETARY</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DEAN J. MILLER</w:t>
            </w:r>
            <w:r>
              <w:rPr>
                <w:vertAlign w:val="baseline"/>
              </w:rPr>
            </w:r>
          </w:p>
          <w:p>
            <w:r>
              <w:rPr>
                <w:color w:val="000000"/>
                <w:rFonts w:ascii="Times New Roman" w:hAnsi="Times New Roman"/>
                <w:sz w:val="20"/>
                <w:vertAlign w:val="baseline"/>
              </w:rPr>
              <w:t xml:space="preserve">McDEVITT AND MILLER, LLP</w:t>
            </w:r>
            <w:r>
              <w:rPr>
                <w:vertAlign w:val="baseline"/>
              </w:rPr>
            </w:r>
          </w:p>
          <w:p>
            <w:r>
              <w:rPr>
                <w:color w:val="000000"/>
                <w:rFonts w:ascii="Times New Roman" w:hAnsi="Times New Roman"/>
                <w:sz w:val="20"/>
                <w:vertAlign w:val="baseline"/>
              </w:rPr>
              <w:t xml:space="preserve">537 WEST BANNOCK, STE 215</w:t>
            </w:r>
            <w:r>
              <w:rPr>
                <w:vertAlign w:val="baseline"/>
              </w:rPr>
            </w:r>
          </w:p>
          <w:p>
            <w:r>
              <w:rPr>
                <w:color w:val="000000"/>
                <w:rFonts w:ascii="Times New Roman" w:hAnsi="Times New Roman"/>
                <w:sz w:val="20"/>
                <w:vertAlign w:val="baseline"/>
              </w:rPr>
              <w:t xml:space="preserve">PO BOX 2564-83701</w:t>
            </w:r>
            <w:r>
              <w:rPr>
                <w:vertAlign w:val="baseline"/>
              </w:rPr>
            </w:r>
          </w:p>
          <w:p>
            <w:r>
              <w:rPr>
                <w:color w:val="000000"/>
                <w:rFonts w:ascii="Times New Roman" w:hAnsi="Times New Roman"/>
                <w:sz w:val="20"/>
                <w:vertAlign w:val="baseline"/>
              </w:rPr>
              <w:t xml:space="preserve">BOISE, ID 83702</w:t>
            </w:r>
            <w:r>
              <w:rPr>
                <w:vertAlign w:val="baseline"/>
              </w:rPr>
            </w:r>
          </w:p>
          <w:p>
            <w:r>
              <w:rPr>
                <w:vertAlign w:val="baseline"/>
              </w:rPr>
            </w:r>
          </w:p>
          <w:p>
            <w:r>
              <w:rPr>
                <w:color w:val="000000"/>
                <w:rFonts w:ascii="Times New Roman" w:hAnsi="Times New Roman"/>
                <w:sz w:val="20"/>
                <w:vertAlign w:val="baseline"/>
              </w:rPr>
              <w:t xml:space="preserve">MARK A. GENNARI</w:t>
            </w:r>
            <w:r>
              <w:rPr>
                <w:vertAlign w:val="baseline"/>
              </w:rPr>
            </w:r>
          </w:p>
          <w:p>
            <w:r>
              <w:rPr>
                <w:color w:val="000000"/>
                <w:rFonts w:ascii="Times New Roman" w:hAnsi="Times New Roman"/>
                <w:sz w:val="20"/>
                <w:vertAlign w:val="baseline"/>
              </w:rPr>
              <w:t xml:space="preserve">UNITED WATER MANAGEMENT &amp; SERVICES, INC.</w:t>
            </w:r>
            <w:r>
              <w:rPr>
                <w:vertAlign w:val="baseline"/>
              </w:rPr>
            </w:r>
          </w:p>
          <w:p>
            <w:r>
              <w:rPr>
                <w:color w:val="000000"/>
                <w:rFonts w:ascii="Times New Roman" w:hAnsi="Times New Roman"/>
                <w:sz w:val="20"/>
                <w:vertAlign w:val="baseline"/>
              </w:rPr>
              <w:t xml:space="preserve">200 OLD HOOK ROAD</w:t>
            </w:r>
            <w:r>
              <w:rPr>
                <w:vertAlign w:val="baseline"/>
              </w:rPr>
            </w:r>
          </w:p>
          <w:p>
            <w:r>
              <w:rPr>
                <w:color w:val="000000"/>
                <w:rFonts w:ascii="Times New Roman" w:hAnsi="Times New Roman"/>
                <w:sz w:val="20"/>
                <w:vertAlign w:val="baseline"/>
              </w:rPr>
              <w:t xml:space="preserve">HARRINGTON PARK, NJ 07640</w:t>
            </w:r>
            <w:r>
              <w:rPr>
                <w:vertAlign w:val="baseline"/>
              </w:rPr>
            </w:r>
          </w:p>
        </w:tc>
      </w:tr>
    </w:tbl>
    <w:p>
      <w:pPr/>
    </w:p>
    <w:p>
      <w:r>
        <w:rPr>
          <w:vertAlign w:val="baseline"/>
        </w:rPr>
      </w:r>
    </w:p>
    <w:p>
      <w:r>
        <w:rPr>
          <w:color w:val="000000"/>
          <w:rFonts w:ascii="Times New Roman" w:hAnsi="Times New Roman"/>
          <w:sz w:val="24"/>
          <w:vertAlign w:val="baseline"/>
        </w:rPr>
        <w:t xml:space="preserve">DATED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vld/N:UWI-W-98-3.sw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