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UNITED WATER IDAHO INC., AND WARM SPRINGS MESA, INC.  FOR AN ORDER APPROVING THE SALE AND TRANSFER OF WATER SERVICE PROPERTIES BY WARM SPRINGS MESA TO UNITED WATER IDAHO.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UWI-W-96-1</w:t>
            </w:r>
            <w:r>
              <w:rPr>
                <w:vertAlign w:val="baseline"/>
              </w:rPr>
            </w:r>
          </w:p>
          <w:p>
            <w:r>
              <w:rPr>
                <w:color w:val="000000"/>
                <w:rFonts w:ascii="Times New Roman" w:hAnsi="Times New Roman"/>
                <w:sz w:val="24"/>
                <w:vertAlign w:val="baseline"/>
              </w:rPr>
              <w:t xml:space="preserve">WSM-W-96-1</w:t>
            </w:r>
            <w:r>
              <w:rPr>
                <w:vertAlign w:val="baseline"/>
              </w:rPr>
            </w:r>
          </w:p>
          <w:p>
            <w:r>
              <w:rPr>
                <w:vertAlign w:val="baseline"/>
              </w:rPr>
            </w:r>
          </w:p>
          <w:p>
            <w:r>
              <w:rPr>
                <w:color w:val="000000"/>
                <w:rFonts w:ascii="Times New Roman" w:hAnsi="Times New Roman"/>
                <w:sz w:val="24"/>
                <w:vertAlign w:val="baseline"/>
              </w:rPr>
              <w:t xml:space="preserve">ORDER NO.  26588</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APPLICATION</w:t>
      </w:r>
      <w:r>
        <w:rPr>
          <w:vertAlign w:val="baseline"/>
        </w:rPr>
      </w:r>
    </w:p>
    <w:p>
      <w:r>
        <w:rPr>
          <w:color w:val="000000"/>
          <w:rFonts w:ascii="Times New Roman" w:hAnsi="Times New Roman"/>
          <w:sz w:val="24"/>
          <w:vertAlign w:val="baseline"/>
        </w:rPr>
        <w:t xml:space="preserve">On March 28, 1996, United Water Idaho Inc. (UWI, United Water) and Warm Springs Mesa, Inc. (WSM, Warm Springs) collectively referred to as “Applicants,” filed an Application with the Idaho Public Utilities Commission (Commission) for an order approving the sale and transfer to United Water of Warm Springs’ water service properties located in Ada County, Idaho.  UWI also requests approval of certain related rate and ratemaking matters.  As qualified below, the Commission in this Order approves the requested sale and transfer.</w:t>
      </w:r>
      <w:r>
        <w:rPr>
          <w:vertAlign w:val="baseline"/>
        </w:rPr>
      </w:r>
    </w:p>
    <w:p>
      <w:r>
        <w:rPr>
          <w:color w:val="000000"/>
          <w:rFonts w:ascii="Times New Roman" w:hAnsi="Times New Roman"/>
          <w:sz w:val="24"/>
          <w:vertAlign w:val="baseline"/>
        </w:rPr>
        <w:t xml:space="preserve">United Water is a public utility providing water service to more than 54,500 customers in Ada County, Idaho.  United Water is a regulated utility operating under Certificate of Public Convenience and Necessity No. 143 (as amended).  UWI is a subsidiary of United Water Works Inc., a Delaware corporation.  </w:t>
      </w:r>
      <w:r>
        <w:rPr>
          <w:vertAlign w:val="baseline"/>
        </w:rPr>
      </w:r>
    </w:p>
    <w:p>
      <w:r>
        <w:rPr>
          <w:color w:val="000000"/>
          <w:rFonts w:ascii="Times New Roman" w:hAnsi="Times New Roman"/>
          <w:sz w:val="24"/>
          <w:vertAlign w:val="baseline"/>
        </w:rPr>
        <w:t xml:space="preserve">Warm Springs is a public utility providing metered water service to approximately 325 customers in and around Warm Springs Mesa subdivision in Ada County, Idaho.  Warm Springs is a regulated utility operating under Certificate of Public Convenience and Necessity No. 264 (as amended).  </w:t>
      </w:r>
      <w:r>
        <w:rPr>
          <w:vertAlign w:val="baseline"/>
        </w:rPr>
      </w:r>
    </w:p>
    <w:p>
      <w:r>
        <w:rPr>
          <w:color w:val="000000"/>
          <w:rFonts w:ascii="Times New Roman" w:hAnsi="Times New Roman"/>
          <w:sz w:val="24"/>
          <w:vertAlign w:val="baseline"/>
        </w:rPr>
        <w:t xml:space="preserve"> United Water, Warm Springs and J. H. Wise &amp; Sons, Inc., an Idaho corporation (“Wise”) have negotiated and executed an Agreement for Purchase and Sale (Agreement) dated March 27, 1996 whereby Warm Springs and Wise will sell and transfer to United Water real property and water works facilities used in furnishing water service to the public in and around the Warm Springs Mesa subdivision.</w:t>
      </w:r>
      <w:r>
        <w:rPr>
          <w:vertAlign w:val="baseline"/>
        </w:rPr>
      </w:r>
    </w:p>
    <w:p>
      <w:r>
        <w:rPr>
          <w:color w:val="000000"/>
          <w:rFonts w:ascii="Times New Roman" w:hAnsi="Times New Roman"/>
          <w:sz w:val="24"/>
          <w:vertAlign w:val="baseline"/>
        </w:rPr>
        <w:t xml:space="preserve"> The purchase price to be paid by United Water for all the land, improvements, personalty and intangible property used and useful in the furnishing of water service by Warm Springs is $550,000.  As per the stipulated results of Staff audit (Tr. p. 108 Staff; Tr. pp. 24, 42 UWI concurs)</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the purchase price consists of the following components and related valuation:</w:t>
      </w:r>
      <w:r>
        <w:rPr>
          <w:vertAlign w:val="baseline"/>
        </w:rPr>
      </w:r>
    </w:p>
    <w:p>
      <w:r>
        <w:rPr>
          <w:color w:val="000000"/>
          <w:rFonts w:ascii="Times New Roman" w:hAnsi="Times New Roman"/>
          <w:sz w:val="24"/>
          <w:vertAlign w:val="baseline"/>
        </w:rPr>
        <w:t xml:space="preserve">Depreciated cost of property (rate base)$277,248</w:t>
      </w:r>
      <w:r>
        <w:rPr>
          <w:vertAlign w:val="baseline"/>
        </w:rPr>
      </w:r>
    </w:p>
    <w:p>
      <w:r>
        <w:rPr>
          <w:color w:val="000000"/>
          <w:rFonts w:ascii="Times New Roman" w:hAnsi="Times New Roman"/>
          <w:sz w:val="24"/>
          <w:vertAlign w:val="baseline"/>
        </w:rPr>
        <w:t xml:space="preserve">Well No. 3    147,300</w:t>
      </w:r>
      <w:r>
        <w:rPr>
          <w:vertAlign w:val="baseline"/>
        </w:rPr>
      </w:r>
    </w:p>
    <w:p>
      <w:r>
        <w:rPr>
          <w:color w:val="000000"/>
          <w:rFonts w:ascii="Times New Roman" w:hAnsi="Times New Roman"/>
          <w:sz w:val="24"/>
          <w:vertAlign w:val="baseline"/>
        </w:rPr>
        <w:t xml:space="preserve">Land         63,150</w:t>
      </w:r>
      <w:r>
        <w:rPr>
          <w:vertAlign w:val="baseline"/>
        </w:rPr>
      </w:r>
    </w:p>
    <w:p>
      <w:r>
        <w:rPr>
          <w:color w:val="000000"/>
          <w:rFonts w:ascii="Times New Roman" w:hAnsi="Times New Roman"/>
          <w:sz w:val="24"/>
          <w:vertAlign w:val="baseline"/>
        </w:rPr>
        <w:t xml:space="preserve">Acquisition Adjustment</w:t>
      </w:r>
      <w:r>
        <w:rPr>
          <w:color w:val="000000"/>
          <w:rFonts w:ascii="Times New Roman" w:hAnsi="Times New Roman"/>
          <w:sz w:val="24"/>
          <w:vertAlign w:val="baseline"/>
        </w:rPr>
        <w:t xml:space="preserve">    62,302</w:t>
      </w:r>
      <w:r>
        <w:rPr>
          <w:vertAlign w:val="baseline"/>
        </w:rPr>
      </w:r>
    </w:p>
    <w:p>
      <w:r>
        <w:rPr>
          <w:color w:val="000000"/>
          <w:rFonts w:ascii="Times New Roman" w:hAnsi="Times New Roman"/>
          <w:sz w:val="24"/>
          <w:vertAlign w:val="baseline"/>
        </w:rPr>
        <w:t xml:space="preserve">TOTAL$550,000</w:t>
      </w:r>
      <w:r>
        <w:rPr>
          <w:vertAlign w:val="baseline"/>
        </w:rPr>
      </w:r>
    </w:p>
    <w:p>
      <w:r>
        <w:rPr>
          <w:color w:val="000000"/>
          <w:rFonts w:ascii="Times New Roman" w:hAnsi="Times New Roman"/>
          <w:sz w:val="24"/>
          <w:vertAlign w:val="baseline"/>
        </w:rPr>
        <w:t xml:space="preserve">The purchase price by terms of the Agreement may be adjusted to reflect additional depreciation in the event regulatory approval is not received within six months of the Agreement date.</w:t>
      </w:r>
      <w:r>
        <w:rPr>
          <w:vertAlign w:val="baseline"/>
        </w:rPr>
      </w:r>
    </w:p>
    <w:p>
      <w:r>
        <w:rPr>
          <w:color w:val="000000"/>
          <w:rFonts w:ascii="Times New Roman" w:hAnsi="Times New Roman"/>
          <w:sz w:val="24"/>
          <w:vertAlign w:val="baseline"/>
        </w:rPr>
        <w:t xml:space="preserve">United Water proposes to provide water to Warm Springs customers at United Water’s approved tariff rates and in accordance with United Water’s rules and regulations governing the rendering of water service.  The average total bill of Warm Springs customers is not expected to be significantly different.</w:t>
      </w:r>
      <w:r>
        <w:rPr>
          <w:vertAlign w:val="baseline"/>
        </w:rPr>
      </w:r>
    </w:p>
    <w:p>
      <w:r>
        <w:rPr>
          <w:color w:val="000000"/>
          <w:rFonts w:ascii="Times New Roman" w:hAnsi="Times New Roman"/>
          <w:sz w:val="24"/>
          <w:vertAlign w:val="baseline"/>
        </w:rPr>
        <w:t xml:space="preserve">Although not required in the underlying Agreement, United Water proposes not to charge connection fees for new service in the Warms Springs area unless and until the Warm Springs system is interconnected to the United Water distribution system.  As reflected in the accompanying testimony there are approximately 215 undeveloped lots in the Warm Springs area.</w:t>
      </w:r>
      <w:r>
        <w:rPr>
          <w:vertAlign w:val="baseline"/>
        </w:rPr>
      </w:r>
    </w:p>
    <w:p>
      <w:r>
        <w:rPr>
          <w:color w:val="000000"/>
          <w:rFonts w:ascii="Times New Roman" w:hAnsi="Times New Roman"/>
          <w:sz w:val="24"/>
          <w:vertAlign w:val="baseline"/>
        </w:rPr>
        <w:t xml:space="preserve">Warm Springs states that it desires to convey its water company to United Water because it is unwilling to undertake the perceived risks of continued operations arising from increasingly stringent water quality regulations, increasingly complex utility regulation, and increasingly complex operational and technical requirements.  Because of its small size Warm Springs states that it has experienced, and in the absence of this sale, would continue to experience, difficulties in maintaining its system and in obtaining adequate financing for operations, maintenance and expansion.  Tr. pp. 49, 50.</w:t>
      </w:r>
      <w:r>
        <w:rPr>
          <w:vertAlign w:val="baseline"/>
        </w:rPr>
      </w:r>
    </w:p>
    <w:p>
      <w:r>
        <w:rPr>
          <w:color w:val="000000"/>
          <w:rFonts w:ascii="Times New Roman" w:hAnsi="Times New Roman"/>
          <w:sz w:val="24"/>
          <w:vertAlign w:val="baseline"/>
        </w:rPr>
        <w:t xml:space="preserve">United Water maintains that it possesses the technical, managerial and financial abilities to provide reliable and adequate service (e.g., engineering; hydrology; utility management; utility accounting; customer service; computer systems; water production, treatment &amp; testing; and distribution system operation), and accordingly contends that the proposed transfer is in the public interest.  Tr. pp. 11, 12.</w:t>
      </w:r>
      <w:r>
        <w:rPr>
          <w:vertAlign w:val="baseline"/>
        </w:rPr>
      </w:r>
    </w:p>
    <w:p>
      <w:r>
        <w:rPr>
          <w:color w:val="000000"/>
          <w:rFonts w:ascii="Times New Roman" w:hAnsi="Times New Roman"/>
          <w:sz w:val="24"/>
          <w:vertAlign w:val="baseline"/>
        </w:rPr>
        <w:t xml:space="preserve">The Applicants request an order of the Commission:</w:t>
      </w:r>
      <w:r>
        <w:rPr>
          <w:vertAlign w:val="baseline"/>
        </w:rPr>
      </w:r>
    </w:p>
    <w:p>
      <w:r>
        <w:rPr>
          <w:color w:val="000000"/>
          <w:rFonts w:ascii="Times New Roman" w:hAnsi="Times New Roman"/>
          <w:sz w:val="24"/>
          <w:vertAlign w:val="baseline"/>
        </w:rPr>
        <w:t xml:space="preserve">1.Approving the sale of Warm Springs assets to United Water;</w:t>
      </w:r>
      <w:r>
        <w:rPr>
          <w:vertAlign w:val="baseline"/>
        </w:rPr>
      </w:r>
    </w:p>
    <w:p>
      <w:r>
        <w:rPr>
          <w:color w:val="000000"/>
          <w:rFonts w:ascii="Times New Roman" w:hAnsi="Times New Roman"/>
          <w:sz w:val="24"/>
          <w:vertAlign w:val="baseline"/>
        </w:rPr>
        <w:t xml:space="preserve">2.Confirming the right of United Water to include in rate base and future rate proceedings the net full purchase price of the assets subject to this transaction, and to recover reasonable costs of acquisition;</w:t>
      </w:r>
      <w:r>
        <w:rPr>
          <w:vertAlign w:val="baseline"/>
        </w:rPr>
      </w:r>
    </w:p>
    <w:p>
      <w:r>
        <w:rPr>
          <w:color w:val="000000"/>
          <w:rFonts w:ascii="Times New Roman" w:hAnsi="Times New Roman"/>
          <w:sz w:val="24"/>
          <w:vertAlign w:val="baseline"/>
        </w:rPr>
        <w:t xml:space="preserve">3.Confirming the right of United Water to provide water service in the area now served by Warm Springs at United Water’s currently and hereafter approved tariff rates with the exception of connection fees;</w:t>
      </w:r>
      <w:r>
        <w:rPr>
          <w:vertAlign w:val="baseline"/>
        </w:rPr>
      </w:r>
    </w:p>
    <w:p>
      <w:r>
        <w:rPr>
          <w:color w:val="000000"/>
          <w:rFonts w:ascii="Times New Roman" w:hAnsi="Times New Roman"/>
          <w:sz w:val="24"/>
          <w:vertAlign w:val="baseline"/>
        </w:rPr>
        <w:t xml:space="preserve">4.Confirming the right of Warm Springs to abandon service, cancellation of Warm Springs’ Certificate of Convenience and Necessity and amendment of United Water’s Certificate of Convenience and Necessity; and</w:t>
      </w:r>
      <w:r>
        <w:rPr>
          <w:vertAlign w:val="baseline"/>
        </w:rPr>
      </w:r>
    </w:p>
    <w:p>
      <w:r>
        <w:rPr>
          <w:color w:val="000000"/>
          <w:rFonts w:ascii="Times New Roman" w:hAnsi="Times New Roman"/>
          <w:sz w:val="24"/>
          <w:vertAlign w:val="baseline"/>
        </w:rPr>
        <w:t xml:space="preserve">5.Granting such other and further relief as the Commission deems appropriate.</w:t>
      </w:r>
      <w:r>
        <w:rPr>
          <w:vertAlign w:val="baseline"/>
        </w:rPr>
      </w:r>
    </w:p>
    <w:p>
      <w:r>
        <w:rPr>
          <w:color w:val="000000"/>
          <w:rFonts w:ascii="Times New Roman" w:hAnsi="Times New Roman"/>
          <w:sz w:val="24"/>
          <w:vertAlign w:val="baseline"/>
        </w:rPr>
        <w:t xml:space="preserve">The Application filed in Case Nos. UWI-W-96-1 and WSM-W-96-1 is accompanied by a service area map of United Water with boundary descriptions, the United Water/Warm Springs/Wise Agreement for Purchase and Sale, and the prefiled testimony of United Water.</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Public hearing in Case Nos. UWI-W-96-1/WSM-W-96-1 was held in Boise, Idaho on July 16, 1996.  The following parties appeared and participated by and through their respective counsel:</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United Water Idaho Inc.</w:t>
            </w:r>
            <w:r>
              <w:rPr>
                <w:vertAlign w:val="baseline"/>
              </w:rPr>
            </w:r>
          </w:p>
          <w:p>
            <w:r>
              <w:rPr>
                <w:color w:val="000000"/>
                <w:rFonts w:ascii="Times New Roman" w:hAnsi="Times New Roman"/>
                <w:sz w:val="24"/>
                <w:vertAlign w:val="baseline"/>
              </w:rPr>
              <w:t xml:space="preserve">Warm Springs Mesa, Inc.</w:t>
            </w:r>
            <w:r>
              <w:rPr>
                <w:vertAlign w:val="baseline"/>
              </w:rPr>
            </w:r>
          </w:p>
          <w:p>
            <w:r>
              <w:rPr>
                <w:color w:val="000000"/>
                <w:rFonts w:ascii="Times New Roman" w:hAnsi="Times New Roman"/>
                <w:sz w:val="24"/>
                <w:vertAlign w:val="baseline"/>
              </w:rPr>
              <w:t xml:space="preserve">Commission Staff</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Dean J.  Miller</w:t>
            </w:r>
            <w:r>
              <w:rPr>
                <w:vertAlign w:val="baseline"/>
              </w:rPr>
            </w:r>
          </w:p>
          <w:p>
            <w:r>
              <w:rPr>
                <w:color w:val="000000"/>
                <w:rFonts w:ascii="Times New Roman" w:hAnsi="Times New Roman"/>
                <w:sz w:val="24"/>
                <w:vertAlign w:val="baseline"/>
              </w:rPr>
              <w:t xml:space="preserve">Peter Boyd</w:t>
            </w:r>
            <w:r>
              <w:rPr>
                <w:vertAlign w:val="baseline"/>
              </w:rPr>
            </w:r>
          </w:p>
          <w:p>
            <w:r>
              <w:rPr>
                <w:color w:val="000000"/>
                <w:rFonts w:ascii="Times New Roman" w:hAnsi="Times New Roman"/>
                <w:sz w:val="24"/>
                <w:vertAlign w:val="baseline"/>
              </w:rPr>
              <w:t xml:space="preserve">Scott D. Woodbury</w:t>
            </w:r>
            <w:r>
              <w:rPr>
                <w:vertAlign w:val="baseline"/>
              </w:rPr>
            </w:r>
          </w:p>
        </w:tc>
      </w:tr>
    </w:tbl>
    <w:p>
      <w:pPr/>
    </w:p>
    <w:p>
      <w:r>
        <w:rPr>
          <w:vertAlign w:val="baseline"/>
        </w:rPr>
      </w:r>
    </w:p>
    <w:p>
      <w:r>
        <w:rPr>
          <w:color w:val="000000"/>
          <w:rFonts w:ascii="Times New Roman" w:hAnsi="Times New Roman"/>
          <w:sz w:val="24"/>
          <w:vertAlign w:val="baseline"/>
        </w:rPr>
        <w:t xml:space="preserve">Public testimony was taken in an evening hearing on the same date.</w:t>
      </w:r>
      <w:r>
        <w:rPr>
          <w:vertAlign w:val="baseline"/>
        </w:rPr>
      </w:r>
    </w:p>
    <w:p>
      <w:r>
        <w:rPr>
          <w:color w:val="000000"/>
          <w:rFonts w:ascii="Times New Roman" w:hAnsi="Times New Roman"/>
          <w:sz w:val="24"/>
          <w:vertAlign w:val="baseline"/>
        </w:rPr>
        <w:t xml:space="preserve">The Commission Staff recommends approval of the sale and transfer, but proposes different treatment regarding tariff implementation and transaction accounting.  As reflected in the filings of record and testimony the positions of the parties on the issues of difference in this case can be described as follows:</w:t>
      </w:r>
      <w:r>
        <w:rPr>
          <w:vertAlign w:val="baseline"/>
        </w:rPr>
      </w:r>
    </w:p>
    <w:p>
      <w:r>
        <w:rPr>
          <w:color w:val="000000"/>
          <w:rFonts w:ascii="Times New Roman" w:hAnsi="Times New Roman"/>
          <w:sz w:val="24"/>
          <w:vertAlign w:val="baseline"/>
        </w:rPr>
        <w:t xml:space="preserve">Financial Considerations of the Agreement</w:t>
      </w:r>
      <w:r>
        <w:rPr>
          <w:vertAlign w:val="baseline"/>
        </w:rPr>
      </w:r>
    </w:p>
    <w:p>
      <w:r>
        <w:rPr>
          <w:color w:val="000000"/>
          <w:rFonts w:ascii="Times New Roman" w:hAnsi="Times New Roman"/>
          <w:sz w:val="24"/>
          <w:vertAlign w:val="baseline"/>
        </w:rPr>
        <w:t xml:space="preserve">United Water has approximately 54,500 customers.  The Company’s estimated 1995 year-end rate base stated in its current rate application (Case No. UWI-W-96-3) is $74,591,966.  Based on information furnished in this case, the Company’s estimated average rate base per customer is $1,346.00.  Tr. p. 35.</w:t>
      </w:r>
      <w:r>
        <w:rPr>
          <w:vertAlign w:val="baseline"/>
        </w:rPr>
      </w:r>
    </w:p>
    <w:p>
      <w:r>
        <w:rPr>
          <w:color w:val="000000"/>
          <w:rFonts w:ascii="Times New Roman" w:hAnsi="Times New Roman"/>
          <w:sz w:val="24"/>
          <w:vertAlign w:val="baseline"/>
        </w:rPr>
        <w:t xml:space="preserve">Warm Springs Mesa has approximately 325 customers.  Pursuant to Staff’s calculation,  the Warm Springs estimated average rate base per customer is $1,332.00 (w/o Well No. 3) and $1,692 (w/Well No. 3).  Tr. pp. 35, 81.</w:t>
      </w:r>
      <w:r>
        <w:rPr>
          <w:vertAlign w:val="baseline"/>
        </w:rPr>
      </w:r>
    </w:p>
    <w:p>
      <w:r>
        <w:rPr>
          <w:color w:val="000000"/>
          <w:rFonts w:ascii="Times New Roman" w:hAnsi="Times New Roman"/>
          <w:sz w:val="24"/>
          <w:vertAlign w:val="baseline"/>
        </w:rPr>
        <w:t xml:space="preserve">UWI estimates that in addition to the $550,000 cash purchase price, the Company will also incur the following costs ($53,000) for which it requests rate base treatment:</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Telemetry (SCADA)</w:t>
            </w:r>
            <w:r>
              <w:rPr>
                <w:vertAlign w:val="baseline"/>
              </w:rPr>
            </w:r>
          </w:p>
          <w:p>
            <w:r>
              <w:rPr>
                <w:color w:val="000000"/>
                <w:rFonts w:ascii="Times New Roman" w:hAnsi="Times New Roman"/>
                <w:sz w:val="24"/>
                <w:vertAlign w:val="baseline"/>
              </w:rPr>
              <w:t xml:space="preserve">Meter box/meter setting modifications</w:t>
            </w:r>
            <w:r>
              <w:rPr>
                <w:vertAlign w:val="baseline"/>
              </w:rPr>
            </w:r>
          </w:p>
          <w:p>
            <w:r>
              <w:rPr>
                <w:color w:val="000000"/>
                <w:rFonts w:ascii="Times New Roman" w:hAnsi="Times New Roman"/>
                <w:sz w:val="24"/>
                <w:vertAlign w:val="baseline"/>
              </w:rPr>
              <w:t xml:space="preserve">Wells, pressure regulation vaults,</w:t>
            </w:r>
            <w:r>
              <w:rPr>
                <w:vertAlign w:val="baseline"/>
              </w:rPr>
            </w:r>
          </w:p>
          <w:p>
            <w:r>
              <w:rPr>
                <w:color w:val="000000"/>
                <w:rFonts w:ascii="Times New Roman" w:hAnsi="Times New Roman"/>
                <w:sz w:val="24"/>
                <w:vertAlign w:val="baseline"/>
              </w:rPr>
              <w:t xml:space="preserve">       booster station modifications</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$16,000</w:t>
            </w:r>
            <w:r>
              <w:rPr>
                <w:vertAlign w:val="baseline"/>
              </w:rPr>
            </w:r>
          </w:p>
          <w:p>
            <w:r>
              <w:rPr>
                <w:color w:val="000000"/>
                <w:rFonts w:ascii="Times New Roman" w:hAnsi="Times New Roman"/>
                <w:sz w:val="24"/>
                <w:vertAlign w:val="baseline"/>
              </w:rPr>
              <w:t xml:space="preserve"> 18,000</w:t>
            </w:r>
            <w:r>
              <w:rPr>
                <w:vertAlign w:val="baseline"/>
              </w:rPr>
            </w:r>
          </w:p>
          <w:p>
            <w:r>
              <w:rPr>
                <w:color w:val="000000"/>
                <w:rFonts w:ascii="Times New Roman" w:hAnsi="Times New Roman"/>
                <w:sz w:val="24"/>
                <w:vertAlign w:val="baseline"/>
              </w:rPr>
              <w:t xml:space="preserve"> 19,000</w:t>
            </w:r>
            <w:r>
              <w:rPr>
                <w:vertAlign w:val="baseline"/>
              </w:rPr>
            </w:r>
          </w:p>
        </w:tc>
      </w:tr>
    </w:tbl>
    <w:p>
      <w:pPr/>
    </w:p>
    <w:p>
      <w:r>
        <w:rPr>
          <w:vertAlign w:val="baseline"/>
        </w:rPr>
      </w:r>
    </w:p>
    <w:p>
      <w:r>
        <w:rPr>
          <w:color w:val="000000"/>
          <w:rFonts w:ascii="Times New Roman" w:hAnsi="Times New Roman"/>
          <w:sz w:val="24"/>
          <w:vertAlign w:val="baseline"/>
        </w:rPr>
        <w:t xml:space="preserve">Tr. pp. 19, 20.</w:t>
      </w:r>
      <w:r>
        <w:rPr>
          <w:vertAlign w:val="baseline"/>
        </w:rPr>
      </w:r>
    </w:p>
    <w:p>
      <w:r>
        <w:rPr>
          <w:vertAlign w:val="baseline"/>
        </w:rPr>
      </w:r>
    </w:p>
    <w:p>
      <w:r>
        <w:rPr>
          <w:color w:val="000000"/>
          <w:rFonts w:ascii="Times New Roman" w:hAnsi="Times New Roman"/>
          <w:sz w:val="24"/>
          <w:vertAlign w:val="baseline"/>
        </w:rPr>
        <w:t xml:space="preserve">Staff agrees that plant and equipment should be brought up to reasonable construction standards and that unsafe conditions should be corrected.  Staff contends, however, that capitalization is perhaps only appropriate where the life of the facilities is extended, and must otherwise be expensed.  Tr. pp. 38, 39, 83.  Staff notes that the capacity of the Toluka booster station may also have to be increased in three to five years.  This is the type of investment, Staff states, that would normally be offset by connection fees.  Tr. p. 84.</w:t>
      </w:r>
      <w:r>
        <w:rPr>
          <w:vertAlign w:val="baseline"/>
        </w:rPr>
      </w:r>
    </w:p>
    <w:p>
      <w:r>
        <w:rPr>
          <w:color w:val="000000"/>
          <w:rFonts w:ascii="Times New Roman" w:hAnsi="Times New Roman"/>
          <w:sz w:val="24"/>
          <w:vertAlign w:val="baseline"/>
        </w:rPr>
        <w:t xml:space="preserve">Staff calculates that with Well No. 3 and the acquisition adjustment in rate base, UWI for the WSM system will have an annual revenue requirement of $114,852.  With the existing customer base (325 customers) UWI will realize an estimated revenue deficiency of $17,353.  Collecting or imputing connection fees will reduce the revenue deficiency.  So also will the addition of new customers.  Tr. pp. 108, 109.  Staff recommends that rate base decisions be deferred until the Company’s next rate case.  Deferring a rate base decision until a rate case, Staff contends, will allow things to come in balance, e.g., additional revenue from new customers and depreciated investment. </w:t>
      </w:r>
      <w:r>
        <w:rPr>
          <w:vertAlign w:val="baseline"/>
        </w:rPr>
      </w:r>
    </w:p>
    <w:p>
      <w:r>
        <w:rPr>
          <w:color w:val="000000"/>
          <w:rFonts w:ascii="Times New Roman" w:hAnsi="Times New Roman"/>
          <w:sz w:val="24"/>
          <w:vertAlign w:val="baseline"/>
        </w:rPr>
        <w:t xml:space="preserve">Staff contends that the Warm Springs system should be accounted for in a manner that would allow all rate base, revenues and expenses, including allocated expenses, to be analyzed in a rate case.  This could be accomplished, Staff states, by using separate subaccounts, which could be later collapsed.  Tr. pp. 78, 110.  Regarding separate subaccounts, the Company contends that it is not necessary, justifiable or reasonable to keep separate books and records.  Tr. pp. 22, 23, 39, 40.  The Company contends through its counsel that it will be able to provide information with respect to this transaction within the context of its current accounting practices and as similarly ordered by the Commission in Case Nos. EUW-W-94-1 and UWI-W-95-2.  Tr. p. 130.</w:t>
      </w:r>
      <w:r>
        <w:rPr>
          <w:vertAlign w:val="baseline"/>
        </w:rPr>
      </w:r>
    </w:p>
    <w:p>
      <w:r>
        <w:rPr>
          <w:color w:val="000000"/>
          <w:rFonts w:ascii="Times New Roman" w:hAnsi="Times New Roman"/>
          <w:sz w:val="24"/>
          <w:vertAlign w:val="baseline"/>
        </w:rPr>
        <w:t xml:space="preserve">United Water assures the Commission that it is the Company’s intent by this purchase to hold existing customers harmless and to avoid any related subsidization by the Company’s existing customers.  The issue of subsidization it cautions, however, needs to be approached very carefully.  Tr. pp. 41, 42.</w:t>
      </w:r>
      <w:r>
        <w:rPr>
          <w:vertAlign w:val="baseline"/>
        </w:rPr>
      </w:r>
    </w:p>
    <w:p>
      <w:r>
        <w:rPr>
          <w:color w:val="000000"/>
          <w:rFonts w:ascii="Times New Roman" w:hAnsi="Times New Roman"/>
          <w:sz w:val="24"/>
          <w:vertAlign w:val="baseline"/>
        </w:rPr>
        <w:t xml:space="preserve">Acquisition Adjustment</w:t>
      </w:r>
      <w:r>
        <w:rPr>
          <w:vertAlign w:val="baseline"/>
        </w:rPr>
      </w:r>
    </w:p>
    <w:p>
      <w:r>
        <w:rPr>
          <w:color w:val="000000"/>
          <w:rFonts w:ascii="Times New Roman" w:hAnsi="Times New Roman"/>
          <w:sz w:val="24"/>
          <w:vertAlign w:val="baseline"/>
        </w:rPr>
        <w:t xml:space="preserve">As computed by Staff, the acquisition adjustment related to the purchase of the WSM water system by UWI is $62,302.  The figure represents the difference between WSM original cost of assets less depreciation and UWI purchase price.  Tr. p. 107.  Staff recommends that the amount be booked above the line with amortization beginning now.  Rate basing, Staff suggests, would occur later if Mesa customers are recovering their revenue requirement and if “quantifiable benefit” is demonstrated.  Tr. pp. 25, 26.</w:t>
      </w:r>
      <w:r>
        <w:rPr>
          <w:vertAlign w:val="baseline"/>
        </w:rPr>
      </w:r>
    </w:p>
    <w:p>
      <w:r>
        <w:rPr>
          <w:color w:val="000000"/>
          <w:rFonts w:ascii="Times New Roman" w:hAnsi="Times New Roman"/>
          <w:sz w:val="24"/>
          <w:vertAlign w:val="baseline"/>
        </w:rPr>
        <w:t xml:space="preserve">Connection Fees</w:t>
      </w:r>
      <w:r>
        <w:rPr>
          <w:vertAlign w:val="baseline"/>
        </w:rPr>
      </w:r>
    </w:p>
    <w:p>
      <w:r>
        <w:rPr>
          <w:color w:val="000000"/>
          <w:rFonts w:ascii="Times New Roman" w:hAnsi="Times New Roman"/>
          <w:sz w:val="24"/>
          <w:vertAlign w:val="baseline"/>
        </w:rPr>
        <w:t xml:space="preserve">Connection fees are assessed by UWI to recover system costs related to source of supply, storage and booster facilities.  Tr. pp. 45,78.  UWI recommends waiver of connection fees “until such time as new source of supply is required or until the two systems are connected.”  The current UWI connection fee for standard residential meters is $465.  Tr. p. 37.  The Company justifies its waiver proposal based on its assessment that new customers on the Mesa (215 lots) won’t impose growth costs on the UWI system.  Tr. pp. 15, 16.  Noting that UWI rates and charges are based on average system costs and that the amount collected reduces rate base, Staff contends that all UWI customers would end up paying for any non-collection in their rates.  Staff recommends that all aspects of UWI’s tariffs, including connection fees be implemented when UWI assumes ownership.  Tr. pp. 37, 78.  As further rationale for its position, Staff notes the statutory prohibition against unreasonable discrimination and preference.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61-315) Tr. pp. 78, 128, 129.  Should connection fees not be collected by UWI, Staff recommends to avoid subsidization by existing customers, that the connection fees be imputed in the Company’s next general rate case.  Tr. pp. 111, 124.</w:t>
      </w:r>
      <w:r>
        <w:rPr>
          <w:vertAlign w:val="baseline"/>
        </w:rPr>
      </w:r>
    </w:p>
    <w:p>
      <w:r>
        <w:rPr>
          <w:color w:val="000000"/>
          <w:rFonts w:ascii="Times New Roman" w:hAnsi="Times New Roman"/>
          <w:sz w:val="24"/>
          <w:vertAlign w:val="baseline"/>
        </w:rPr>
        <w:t xml:space="preserve">As an alternative, in the event the Commission disagrees with UWI’s primary proposal, United Water recommends that the 24 lots currently under construction be exempt from connection fees (anticipating that water facilities will be installed prior to closing); and that all lots connected from the date of closing be subject to connection fees.  Tr. pp. 27, 28.  </w:t>
      </w:r>
      <w:r>
        <w:rPr>
          <w:vertAlign w:val="baseline"/>
        </w:rPr>
      </w:r>
    </w:p>
    <w:p>
      <w:r>
        <w:rPr>
          <w:color w:val="000000"/>
          <w:rFonts w:ascii="Times New Roman" w:hAnsi="Times New Roman"/>
          <w:sz w:val="24"/>
          <w:vertAlign w:val="baseline"/>
        </w:rPr>
        <w:t xml:space="preserve">Warm Springs maintains that waiving the connection fee until the WSM system is interconnected with the UWI system was part of the negotiated purchase price of $550,000.  Warm Springs therefore opposes the assessment and collection of any such fees.  Tr. pp. 62, 64.  Forgiveness of same, Warm Springs suggests, should perhaps be considered by the Commission as additional acquisition adjustment.  </w:t>
      </w:r>
      <w:r>
        <w:rPr>
          <w:vertAlign w:val="baseline"/>
        </w:rPr>
      </w:r>
    </w:p>
    <w:p>
      <w:r>
        <w:rPr>
          <w:color w:val="000000"/>
          <w:rFonts w:ascii="Times New Roman" w:hAnsi="Times New Roman"/>
          <w:sz w:val="24"/>
          <w:vertAlign w:val="baseline"/>
        </w:rPr>
        <w:t xml:space="preserve">Well No. 3</w:t>
      </w:r>
      <w:r>
        <w:rPr>
          <w:vertAlign w:val="baseline"/>
        </w:rPr>
      </w:r>
    </w:p>
    <w:p>
      <w:r>
        <w:rPr>
          <w:color w:val="000000"/>
          <w:rFonts w:ascii="Times New Roman" w:hAnsi="Times New Roman"/>
          <w:sz w:val="24"/>
          <w:vertAlign w:val="baseline"/>
        </w:rPr>
        <w:t xml:space="preserve">The WSM system is comprised of three wells, the Toluka booster station (600 gpm), the Boulder Heights Reservoir (629,000 gal.), and the Boulder Heights Booster Station (300 gpm).  Tr. pp. 75, 76.  The total capacity of the three wells by WSM estimation is 1,195 gpm ((1) 125, (2) 400, (3) 670); by UWI estimation, 950 gpm.  Tr. pp. 75, 76.  Assuming a peak demand of 1.7 gpm/customer, Staff calculates that the three wells have sufficient capacity to handle existing (325 customers) and foreseeable customer growth (215), i.e., 918 gpm.  Staff Tr. pp. 76, 77; WSM Tr. p. 64; UWI Tr. 34.</w:t>
      </w:r>
      <w:r>
        <w:rPr>
          <w:vertAlign w:val="baseline"/>
        </w:rPr>
      </w:r>
    </w:p>
    <w:p>
      <w:r>
        <w:rPr>
          <w:color w:val="000000"/>
          <w:rFonts w:ascii="Times New Roman" w:hAnsi="Times New Roman"/>
          <w:sz w:val="24"/>
          <w:vertAlign w:val="baseline"/>
        </w:rPr>
        <w:t xml:space="preserve">Well No. 3 is not currently in WSM rate base.  United Water contends that Well No. 3 is currently “used and useful” and should be included in rate base.  Tr. p. 26.  Well No. 3, the Company contends, provides a redundant supply to Well Nos. 1 and 2, as is required by DEQ and by IDAPA 16.01.08.550.02.0.  Tr. pp. 27, 44.  Without Well No. 3, the Company contends, the system is marginally deficient.  Tr. p. 26.  Testimony also reflected that the pump in Well No. 2 is defective (producing only 150-190 gpm) and needs to be replaced.  Tr. pp. 54, 55, 66, 67.  Warm Springs has committed to replace the pump at no additional cost to United Water.  Tr. p. 70.</w:t>
      </w:r>
      <w:r>
        <w:rPr>
          <w:vertAlign w:val="baseline"/>
        </w:rPr>
      </w:r>
    </w:p>
    <w:p>
      <w:r>
        <w:rPr>
          <w:color w:val="000000"/>
          <w:rFonts w:ascii="Times New Roman" w:hAnsi="Times New Roman"/>
          <w:sz w:val="24"/>
          <w:vertAlign w:val="baseline"/>
        </w:rPr>
        <w:t xml:space="preserve">Staff recommends that the “used and useful” determination regarding rate base be delayed until the Company’s next rate case.  Tr. pp. 26, 83.  If a determination must be made now, Staff contends that Well No. 3 investment must be allocated between existing customers and future customers.  Exh. 104.  The ramifications of a generic determination of “used and useful,” Staff contends, are different </w:t>
      </w:r>
      <w:r>
        <w:rPr>
          <w:color w:val="000000"/>
          <w:rFonts w:ascii="Times New Roman" w:hAnsi="Times New Roman"/>
          <w:sz w:val="24"/>
          <w:vertAlign w:val="baseline"/>
        </w:rPr>
        <w:t xml:space="preserve">vis-á-vi</w:t>
      </w:r>
      <w:r>
        <w:rPr>
          <w:color w:val="000000"/>
          <w:rFonts w:ascii="Times New Roman" w:hAnsi="Times New Roman"/>
          <w:sz w:val="24"/>
          <w:vertAlign w:val="baseline"/>
        </w:rPr>
        <w:t xml:space="preserve">s WSM, an owner/developer system, and UWI.  The Company asks that UWI not be required to make a further showing of some unknown benefit at some time in the future.  Tr. p. 130.</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United Water and Warm Springs pursuant to the provisions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and 61-528 and the Commission’s Rules of Procedure, IDAPA 31.01.01.112, request an Order from the Commission approving the sale and transfer to United Water of the Warm Springs water system.  The Commission has reviewed and considered the filings of record in consolidated Case Nos. UWI-W-96-1 and WSM-W-96-1 including the transcript of proceedings and related correspondence.  We find that the filing satisfies the underlying and procedural requirements for certificate applications.  </w:t>
      </w:r>
      <w:r>
        <w:rPr>
          <w:vertAlign w:val="baseline"/>
        </w:rPr>
      </w:r>
    </w:p>
    <w:p>
      <w:r>
        <w:rPr>
          <w:color w:val="000000"/>
          <w:rFonts w:ascii="Times New Roman" w:hAnsi="Times New Roman"/>
          <w:sz w:val="24"/>
          <w:vertAlign w:val="baseline"/>
        </w:rPr>
        <w:t xml:space="preserve">United Water and Warm Springs present for approval an Agreement for Purchase and Sale dated March 27, 1996.  We find that United Water has the present and future ability to provide adequate and satisfactory service at reasonable rates.  We further find that the present and future public convenience and necessity would be served by certificating this area to United Water.  </w:t>
      </w:r>
      <w:r>
        <w:rPr>
          <w:vertAlign w:val="baseline"/>
        </w:rPr>
      </w:r>
    </w:p>
    <w:p>
      <w:r>
        <w:rPr>
          <w:color w:val="000000"/>
          <w:rFonts w:ascii="Times New Roman" w:hAnsi="Times New Roman"/>
          <w:sz w:val="24"/>
          <w:vertAlign w:val="baseline"/>
        </w:rPr>
        <w:t xml:space="preserve">The Commission recognizes that United Water has agreed to the results of the Staff audit and valuation figures regarding the components of the $550,000 purchase price.  United Water requests assurance that the Company will be permitted to include in rate base and future rate proceedings the net full purchase price of the assets subject to this transaction (i.e., WSM depreciated cost of property, Well No. 3 and land), and to recover its reasonable costs of acquisition (i.e., acquisition adjustment).  While the Commission is not generally inclined to give preapproval or rate base assurance outside a general rate case, we find that the record in this case permits us to do so, and to accept as reasonable the results of Staff audit.</w:t>
      </w:r>
      <w:r>
        <w:rPr>
          <w:vertAlign w:val="baseline"/>
        </w:rPr>
      </w:r>
    </w:p>
    <w:p>
      <w:r>
        <w:rPr>
          <w:color w:val="000000"/>
          <w:rFonts w:ascii="Times New Roman" w:hAnsi="Times New Roman"/>
          <w:sz w:val="24"/>
          <w:vertAlign w:val="baseline"/>
        </w:rPr>
        <w:t xml:space="preserve">We cannot, however, provide United Water with rate base assurance regarding its estimates for additional related investment (i.e., $53,000).  While the parties are in agreement that telemetry or remote monitoring equipment should be installed for Mesa customers, we are presented only with an estimate of costs.  There is also a question as to whether other proposed modifications and estimated amounts should be capitalized or expensed.  The Company has the burden of demonstrating the prudence of its investment in these facilities when actual investment cost is known and when it later seeks to include them in rate base.  </w:t>
      </w:r>
      <w:r>
        <w:rPr>
          <w:vertAlign w:val="baseline"/>
        </w:rPr>
      </w:r>
    </w:p>
    <w:p>
      <w:r>
        <w:rPr>
          <w:color w:val="000000"/>
          <w:rFonts w:ascii="Times New Roman" w:hAnsi="Times New Roman"/>
          <w:sz w:val="24"/>
          <w:vertAlign w:val="baseline"/>
        </w:rPr>
        <w:t xml:space="preserve">The Company is directed and required to account for the acquisition of the Warm Springs Mesa certificate area in a manner that allows related assets, liabilities, revenues and expenses, including allocated common costs, to be separately identified for regulatory purposes.  This is not a requirement for a separate and distinct set of books or subaccounts, but rather is a requirement that the information be maintained in a fashion that allows it to be separated for presentation and analysis at the appropriate time.  Noting Staff’s analysis regarding revenue requirement and existing customer  base, we acknowledge and rely on United Water’s commitment to hold harmless the Company’s other customers from any purchase-related revenue deficiency.  </w:t>
      </w:r>
      <w:r>
        <w:rPr>
          <w:vertAlign w:val="baseline"/>
        </w:rPr>
      </w:r>
    </w:p>
    <w:p>
      <w:r>
        <w:rPr>
          <w:color w:val="000000"/>
          <w:rFonts w:ascii="Times New Roman" w:hAnsi="Times New Roman"/>
          <w:sz w:val="24"/>
          <w:vertAlign w:val="baseline"/>
        </w:rPr>
        <w:t xml:space="preserve">We find the proposal of United Water to waive hookup fees under the specific facts of this case to be acceptable and reasonable with some modification   Neither the interests of United Water or its customers would be well served with an open ended waiver of such fees.  There was no evidence presented about how long it will take to develop 215 Mesa lots.  We, therefore, find it reasonable to limit the waiver to seven years, or until such earlier time as a new source of supply is required or the WSM and UWI systems are connected.  Cognizant also of the prohibitions of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61-315 and to avoid subsidization of future development by existing WSM and UWI customers, we further find it reasonable to impute connection fee revenue associated with new connections in the Mesa area as an offset and reduction to rate base in subsequent general rate cases.</w:t>
      </w:r>
      <w:r>
        <w:rPr>
          <w:vertAlign w:val="baseline"/>
        </w:rPr>
      </w:r>
    </w:p>
    <w:p>
      <w:r>
        <w:rPr>
          <w:color w:val="000000"/>
          <w:rFonts w:ascii="Times New Roman" w:hAnsi="Times New Roman"/>
          <w:sz w:val="24"/>
          <w:vertAlign w:val="baseline"/>
        </w:rPr>
        <w:t xml:space="preserve">In confirming the right of United Water to provide water service in the Warm Springs Mesa area, we also find it reasonable to cancel the related Certificate of Convenience and Necessity of Warm Springs and confirm the right of such company to abandon service to the area.</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United Water Idaho Inc., a water utility and Warm Springs Mesa, Inc., a water utility and the issues presented in Case Nos. UWI-W-96-1 and WSM-W-96-1 pursuant to the authority and power granted the Commission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pursuant to the Commission’s Rules of Procedures,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and in the exhibits to the underlying Application and Agreement, IT IS HEREBY ORDERED that the Certificate of Public Convenience and Necessity of United Water Idaho, Inc. be amended to reflect the addition of the particular Warm Springs Mesa area described and reflected in said exhibits.  United Water Idaho Inc. is directed to prepare and file an amended certificate for Commission approval.  Contemporaneous with the approval of an amended UWI Certificate, the Commission will cancel Warm Springs Mesa, Inc.’s Certificate of Public Convenience and Necessity No. 264 (as amended).</w:t>
      </w:r>
      <w:r>
        <w:rPr>
          <w:vertAlign w:val="baseline"/>
        </w:rPr>
      </w:r>
    </w:p>
    <w:p>
      <w:r>
        <w:rPr>
          <w:color w:val="000000"/>
          <w:rFonts w:ascii="Times New Roman" w:hAnsi="Times New Roman"/>
          <w:sz w:val="24"/>
          <w:vertAlign w:val="baseline"/>
        </w:rPr>
        <w:t xml:space="preserve">IT IS FURTHER ORDERED that with the exception of connection fees as more particularly addressed and qualified above, all United Water rates, charges and tariffs are to be applied to the Warm Springs Mesa area.  The Company is directed to prepare and file an amended connection fee tariff comporting with this Order.</w:t>
      </w:r>
      <w:r>
        <w:rPr>
          <w:vertAlign w:val="baseline"/>
        </w:rPr>
      </w:r>
    </w:p>
    <w:p>
      <w:r>
        <w:rPr>
          <w:color w:val="000000"/>
          <w:rFonts w:ascii="Times New Roman" w:hAnsi="Times New Roman"/>
          <w:sz w:val="24"/>
          <w:vertAlign w:val="baseline"/>
        </w:rPr>
        <w:t xml:space="preserve">IT IS FURTHER ORDERED and United Water Idaho Inc. is directed and required to account for the acquisition of the Warm Springs Mesa water system in a manner that allows the related assets, liabilities, revenues and expenses, including allocated common costs, to be separately identified for regulatory purposes.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vld/O:UWI-W-96-1.sw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30,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